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05A" w:rsidRPr="00DB3047" w:rsidRDefault="003B005A" w:rsidP="00DB3047">
      <w:pPr>
        <w:jc w:val="both"/>
        <w:rPr>
          <w:rFonts w:ascii="Arial" w:hAnsi="Arial" w:cs="Arial"/>
        </w:rPr>
      </w:pPr>
    </w:p>
    <w:p w:rsidR="003B005A" w:rsidRPr="00DB3047" w:rsidRDefault="003B005A" w:rsidP="00DB3047">
      <w:pPr>
        <w:jc w:val="both"/>
        <w:rPr>
          <w:rFonts w:ascii="Arial" w:hAnsi="Arial" w:cs="Arial"/>
        </w:rPr>
      </w:pPr>
    </w:p>
    <w:p w:rsidR="003B005A" w:rsidRPr="00DB3047" w:rsidRDefault="003B005A" w:rsidP="00DB3047">
      <w:pPr>
        <w:pStyle w:val="Cuerpo"/>
        <w:spacing w:line="360" w:lineRule="auto"/>
        <w:jc w:val="center"/>
        <w:rPr>
          <w:rFonts w:ascii="Arial" w:eastAsia="Arial Bold" w:hAnsi="Arial" w:cs="Arial"/>
          <w:b/>
          <w:lang w:val="es-ES"/>
        </w:rPr>
      </w:pPr>
      <w:r w:rsidRPr="00DB3047">
        <w:rPr>
          <w:rFonts w:ascii="Arial" w:hAnsi="Arial" w:cs="Arial"/>
          <w:b/>
          <w:lang w:val="es-ES"/>
        </w:rPr>
        <w:t>PROYECTO DE LEY No.___ DE 2018</w:t>
      </w:r>
    </w:p>
    <w:p w:rsidR="003B005A" w:rsidRPr="00DB3047" w:rsidRDefault="003B005A" w:rsidP="00DB3047">
      <w:pPr>
        <w:jc w:val="center"/>
        <w:rPr>
          <w:rFonts w:ascii="Arial" w:hAnsi="Arial" w:cs="Arial"/>
          <w:i/>
        </w:rPr>
      </w:pPr>
      <w:r w:rsidRPr="00DB3047">
        <w:rPr>
          <w:rFonts w:ascii="Arial" w:hAnsi="Arial" w:cs="Arial"/>
          <w:i/>
        </w:rPr>
        <w:t>“Por medio del cual se regula el régimen de impedimentos y recusaciones del Fiscal General de la Nación”</w:t>
      </w:r>
    </w:p>
    <w:p w:rsidR="003B005A" w:rsidRPr="00DB3047" w:rsidRDefault="003B005A" w:rsidP="00DB3047">
      <w:pPr>
        <w:jc w:val="center"/>
        <w:rPr>
          <w:rFonts w:ascii="Arial" w:hAnsi="Arial" w:cs="Arial"/>
        </w:rPr>
      </w:pPr>
    </w:p>
    <w:p w:rsidR="003B005A" w:rsidRPr="00DB3047" w:rsidRDefault="003B005A" w:rsidP="00DB3047">
      <w:pPr>
        <w:jc w:val="center"/>
        <w:rPr>
          <w:rFonts w:ascii="Arial" w:hAnsi="Arial" w:cs="Arial"/>
        </w:rPr>
      </w:pPr>
    </w:p>
    <w:p w:rsidR="003B005A" w:rsidRPr="00DB3047" w:rsidRDefault="003B005A" w:rsidP="00DB3047">
      <w:pPr>
        <w:pStyle w:val="Cuerpo"/>
        <w:spacing w:line="360" w:lineRule="auto"/>
        <w:jc w:val="center"/>
        <w:rPr>
          <w:rFonts w:ascii="Arial" w:hAnsi="Arial" w:cs="Arial"/>
          <w:lang w:val="es-ES"/>
        </w:rPr>
      </w:pPr>
      <w:r w:rsidRPr="00DB3047">
        <w:rPr>
          <w:rFonts w:ascii="Arial" w:hAnsi="Arial" w:cs="Arial"/>
          <w:lang w:val="es-ES"/>
        </w:rPr>
        <w:t>EL CONGRESO DE COLOMBIA</w:t>
      </w:r>
    </w:p>
    <w:p w:rsidR="003B005A" w:rsidRPr="00DB3047" w:rsidRDefault="003B005A" w:rsidP="00DB3047">
      <w:pPr>
        <w:pStyle w:val="Cuerpo"/>
        <w:spacing w:line="360" w:lineRule="auto"/>
        <w:jc w:val="center"/>
        <w:rPr>
          <w:rFonts w:ascii="Arial" w:hAnsi="Arial" w:cs="Arial"/>
          <w:lang w:val="es-ES"/>
        </w:rPr>
      </w:pPr>
      <w:r w:rsidRPr="00DB3047">
        <w:rPr>
          <w:rFonts w:ascii="Arial" w:hAnsi="Arial" w:cs="Arial"/>
          <w:lang w:val="es-ES"/>
        </w:rPr>
        <w:t>DECRETA</w:t>
      </w:r>
    </w:p>
    <w:p w:rsidR="003B005A" w:rsidRPr="00DB3047" w:rsidRDefault="003B005A" w:rsidP="00DB3047">
      <w:pPr>
        <w:jc w:val="both"/>
        <w:rPr>
          <w:rFonts w:ascii="Arial" w:hAnsi="Arial" w:cs="Arial"/>
        </w:rPr>
      </w:pPr>
    </w:p>
    <w:p w:rsidR="00DB3047" w:rsidRPr="00DB3047" w:rsidRDefault="003B005A" w:rsidP="00DB3047">
      <w:pPr>
        <w:pStyle w:val="Default"/>
        <w:jc w:val="both"/>
        <w:rPr>
          <w:rFonts w:ascii="Arial" w:hAnsi="Arial" w:cs="Arial"/>
          <w:bCs/>
        </w:rPr>
      </w:pPr>
      <w:r w:rsidRPr="00DB3047">
        <w:rPr>
          <w:rFonts w:ascii="Arial" w:hAnsi="Arial" w:cs="Arial"/>
          <w:b/>
          <w:bCs/>
        </w:rPr>
        <w:t>Artículo 1</w:t>
      </w:r>
      <w:r w:rsidR="00DB3047">
        <w:rPr>
          <w:rFonts w:ascii="Arial" w:hAnsi="Arial" w:cs="Arial"/>
          <w:b/>
          <w:bCs/>
        </w:rPr>
        <w:t>°</w:t>
      </w:r>
      <w:r w:rsidRPr="00DB3047">
        <w:rPr>
          <w:rFonts w:ascii="Arial" w:hAnsi="Arial" w:cs="Arial"/>
          <w:b/>
          <w:bCs/>
        </w:rPr>
        <w:t>.</w:t>
      </w:r>
      <w:r w:rsidR="00DB3047">
        <w:rPr>
          <w:rFonts w:ascii="Arial" w:hAnsi="Arial" w:cs="Arial"/>
          <w:b/>
          <w:bCs/>
        </w:rPr>
        <w:t xml:space="preserve"> </w:t>
      </w:r>
      <w:r w:rsidR="00DB3047" w:rsidRPr="00DB3047">
        <w:rPr>
          <w:rFonts w:ascii="Arial" w:hAnsi="Arial" w:cs="Arial"/>
          <w:bCs/>
        </w:rPr>
        <w:t>El artículo 58 de la Ley 906</w:t>
      </w:r>
      <w:r w:rsidR="00DB3047">
        <w:rPr>
          <w:rFonts w:ascii="Arial" w:hAnsi="Arial" w:cs="Arial"/>
          <w:bCs/>
        </w:rPr>
        <w:t xml:space="preserve"> de 2004, Código de Procedimiento Penal,</w:t>
      </w:r>
      <w:r w:rsidR="00DB3047" w:rsidRPr="00DB3047">
        <w:rPr>
          <w:rFonts w:ascii="Arial" w:hAnsi="Arial" w:cs="Arial"/>
          <w:bCs/>
        </w:rPr>
        <w:t xml:space="preserve"> quedará así:</w:t>
      </w:r>
    </w:p>
    <w:p w:rsidR="00DB3047" w:rsidRDefault="00DB3047" w:rsidP="00DB3047">
      <w:pPr>
        <w:pStyle w:val="Default"/>
        <w:jc w:val="both"/>
        <w:rPr>
          <w:rFonts w:ascii="Arial" w:hAnsi="Arial" w:cs="Arial"/>
          <w:b/>
          <w:bCs/>
        </w:rPr>
      </w:pPr>
    </w:p>
    <w:p w:rsidR="003B005A" w:rsidRPr="00DB3047" w:rsidRDefault="00DB3047" w:rsidP="00DB3047">
      <w:pPr>
        <w:pStyle w:val="Default"/>
        <w:ind w:left="708"/>
        <w:jc w:val="both"/>
        <w:rPr>
          <w:rFonts w:ascii="Arial" w:hAnsi="Arial" w:cs="Arial"/>
        </w:rPr>
      </w:pPr>
      <w:r w:rsidRPr="00DB3047">
        <w:rPr>
          <w:rFonts w:ascii="Arial" w:hAnsi="Arial" w:cs="Arial"/>
          <w:b/>
          <w:bCs/>
        </w:rPr>
        <w:t xml:space="preserve">ARTÍCULO 58. IMPEDIMENTO DEL FISCAL GENERAL DE LA NACIÓN. </w:t>
      </w:r>
      <w:r w:rsidR="003B005A" w:rsidRPr="00DB3047">
        <w:rPr>
          <w:rFonts w:ascii="Arial" w:hAnsi="Arial" w:cs="Arial"/>
        </w:rPr>
        <w:t xml:space="preserve">Si el Fiscal General de la Nación se declara impedido o no acepta la recusación, sin importar el régimen procesal aplicable, enviará la actuación a la Sala Plena de la Corte Suprema de Justicia, para que resuelva de plano. </w:t>
      </w:r>
    </w:p>
    <w:p w:rsidR="003B005A" w:rsidRPr="00DB3047" w:rsidRDefault="003B005A" w:rsidP="00DB3047">
      <w:pPr>
        <w:pStyle w:val="Default"/>
        <w:ind w:left="708"/>
        <w:jc w:val="both"/>
        <w:rPr>
          <w:rFonts w:ascii="Arial" w:hAnsi="Arial" w:cs="Arial"/>
          <w:u w:val="single"/>
        </w:rPr>
      </w:pPr>
      <w:r w:rsidRPr="00DB3047">
        <w:rPr>
          <w:rFonts w:ascii="Arial" w:hAnsi="Arial" w:cs="Arial"/>
          <w:u w:val="single"/>
        </w:rPr>
        <w:t xml:space="preserve">En los casos en que prospere el impedimento o la recusación, la Corte Suprema de Justicia oficiará al Presidente de la República para que en el término máximo de diez (10) días conforme una terna en los términos del inciso segundo del artículo 249 de la Constitución Política. </w:t>
      </w:r>
    </w:p>
    <w:p w:rsidR="00DB3047" w:rsidRPr="00DB3047" w:rsidRDefault="003B005A" w:rsidP="00DB3047">
      <w:pPr>
        <w:pStyle w:val="Default"/>
        <w:ind w:left="708"/>
        <w:jc w:val="both"/>
        <w:rPr>
          <w:rFonts w:ascii="Arial" w:hAnsi="Arial" w:cs="Arial"/>
          <w:u w:val="single"/>
        </w:rPr>
      </w:pPr>
      <w:r w:rsidRPr="00DB3047">
        <w:rPr>
          <w:rFonts w:ascii="Arial" w:hAnsi="Arial" w:cs="Arial"/>
          <w:u w:val="single"/>
        </w:rPr>
        <w:t>La Corte Suprema de Justicia elegirá en el término máximo de diez (10) días un Fiscal ad-hoc de la terna propuesta por el Presidente de la República, quien se encargará de conocer del proceso en que prosperó el impedimento o la recusación.</w:t>
      </w:r>
    </w:p>
    <w:p w:rsidR="003B005A" w:rsidRPr="00DB3047" w:rsidRDefault="003B005A" w:rsidP="00DB3047">
      <w:pPr>
        <w:pStyle w:val="Default"/>
        <w:ind w:left="708"/>
        <w:jc w:val="both"/>
        <w:rPr>
          <w:rFonts w:ascii="Arial" w:hAnsi="Arial" w:cs="Arial"/>
          <w:b/>
          <w:u w:val="single"/>
        </w:rPr>
      </w:pPr>
      <w:r w:rsidRPr="00DB3047">
        <w:rPr>
          <w:rFonts w:ascii="Arial" w:hAnsi="Arial" w:cs="Arial"/>
          <w:b/>
          <w:u w:val="single"/>
        </w:rPr>
        <w:t xml:space="preserve"> </w:t>
      </w:r>
    </w:p>
    <w:p w:rsidR="003B005A" w:rsidRPr="00DB3047" w:rsidRDefault="003B005A" w:rsidP="00DB3047">
      <w:pPr>
        <w:ind w:left="708"/>
        <w:jc w:val="both"/>
        <w:rPr>
          <w:rFonts w:ascii="Arial" w:hAnsi="Arial" w:cs="Arial"/>
          <w:b/>
          <w:u w:val="single"/>
        </w:rPr>
      </w:pPr>
      <w:r w:rsidRPr="00DB3047">
        <w:rPr>
          <w:rFonts w:ascii="Arial" w:hAnsi="Arial" w:cs="Arial"/>
          <w:b/>
          <w:bCs/>
          <w:u w:val="single"/>
        </w:rPr>
        <w:t>Parágrafo</w:t>
      </w:r>
      <w:r w:rsidR="00DA7D3D">
        <w:rPr>
          <w:rFonts w:ascii="Arial" w:hAnsi="Arial" w:cs="Arial"/>
          <w:b/>
          <w:bCs/>
          <w:u w:val="single"/>
        </w:rPr>
        <w:t xml:space="preserve"> 1</w:t>
      </w:r>
      <w:r w:rsidRPr="00DB3047">
        <w:rPr>
          <w:rFonts w:ascii="Arial" w:hAnsi="Arial" w:cs="Arial"/>
          <w:b/>
          <w:bCs/>
          <w:u w:val="single"/>
        </w:rPr>
        <w:t xml:space="preserve">. </w:t>
      </w:r>
      <w:r w:rsidRPr="00DB3047">
        <w:rPr>
          <w:rFonts w:ascii="Arial" w:hAnsi="Arial" w:cs="Arial"/>
          <w:u w:val="single"/>
        </w:rPr>
        <w:t>En todos los casos en que el Fiscal General de la Nación acepte la recusación deberá comunicar su decisión a la Corte Suprema de Justicia con el fin de que ésta inicie el</w:t>
      </w:r>
      <w:r w:rsidR="00DB3047" w:rsidRPr="00DB3047">
        <w:rPr>
          <w:rFonts w:ascii="Arial" w:hAnsi="Arial" w:cs="Arial"/>
          <w:u w:val="single"/>
        </w:rPr>
        <w:t xml:space="preserve"> trámite para designar el Fiscal </w:t>
      </w:r>
      <w:r w:rsidR="00DB3047" w:rsidRPr="00DB3047">
        <w:rPr>
          <w:rFonts w:ascii="Arial" w:hAnsi="Arial" w:cs="Arial"/>
          <w:i/>
          <w:iCs/>
          <w:u w:val="single"/>
        </w:rPr>
        <w:t xml:space="preserve">ad-hoc </w:t>
      </w:r>
      <w:r w:rsidR="00DB3047" w:rsidRPr="00DB3047">
        <w:rPr>
          <w:rFonts w:ascii="Arial" w:hAnsi="Arial" w:cs="Arial"/>
          <w:u w:val="single"/>
        </w:rPr>
        <w:t>que conocerá del proceso.</w:t>
      </w:r>
    </w:p>
    <w:p w:rsidR="00DB3047" w:rsidRDefault="00DB3047" w:rsidP="00DB3047">
      <w:pPr>
        <w:ind w:left="708"/>
        <w:jc w:val="both"/>
        <w:rPr>
          <w:rFonts w:ascii="Arial" w:hAnsi="Arial" w:cs="Arial"/>
        </w:rPr>
      </w:pPr>
    </w:p>
    <w:p w:rsidR="00DA7D3D" w:rsidRPr="00B30217" w:rsidRDefault="00DA7D3D" w:rsidP="00DA7D3D">
      <w:pPr>
        <w:ind w:left="708"/>
        <w:jc w:val="both"/>
        <w:rPr>
          <w:rFonts w:ascii="Arial" w:hAnsi="Arial" w:cs="Arial"/>
          <w:u w:val="single"/>
        </w:rPr>
      </w:pPr>
      <w:r w:rsidRPr="00B30217">
        <w:rPr>
          <w:rFonts w:ascii="Arial" w:hAnsi="Arial" w:cs="Arial"/>
          <w:b/>
          <w:u w:val="single"/>
        </w:rPr>
        <w:t>Parágrafo 2.</w:t>
      </w:r>
      <w:r w:rsidRPr="00B30217">
        <w:rPr>
          <w:rFonts w:ascii="Arial" w:hAnsi="Arial" w:cs="Arial"/>
          <w:u w:val="single"/>
        </w:rPr>
        <w:t xml:space="preserve"> El fiscal ad-hoc deberá reunir las mismas calidades exigidas para ser Magistrado de la Corte Suprema de Justicia y estará sujeto al mismo </w:t>
      </w:r>
      <w:r w:rsidR="00B30217" w:rsidRPr="00B30217">
        <w:rPr>
          <w:rFonts w:ascii="Arial" w:hAnsi="Arial" w:cs="Arial"/>
          <w:u w:val="single"/>
        </w:rPr>
        <w:t xml:space="preserve">régimen de incompatibilidades e inhabilidades. </w:t>
      </w:r>
    </w:p>
    <w:p w:rsidR="00DB3047" w:rsidRPr="00DB3047" w:rsidRDefault="00DB3047" w:rsidP="00DB3047">
      <w:pPr>
        <w:jc w:val="both"/>
        <w:rPr>
          <w:rFonts w:ascii="Arial" w:hAnsi="Arial" w:cs="Arial"/>
        </w:rPr>
      </w:pPr>
    </w:p>
    <w:p w:rsidR="00F536B7" w:rsidRDefault="00DB3047" w:rsidP="00DA7D3D">
      <w:pPr>
        <w:pStyle w:val="Default"/>
        <w:jc w:val="both"/>
        <w:rPr>
          <w:rFonts w:ascii="Arial" w:hAnsi="Arial" w:cs="Arial"/>
        </w:rPr>
      </w:pPr>
      <w:r w:rsidRPr="00DB3047">
        <w:rPr>
          <w:rFonts w:ascii="Arial" w:hAnsi="Arial" w:cs="Arial"/>
          <w:b/>
          <w:bCs/>
        </w:rPr>
        <w:t>Artículo 2</w:t>
      </w:r>
      <w:r w:rsidR="00DA7D3D">
        <w:rPr>
          <w:rFonts w:ascii="Arial" w:hAnsi="Arial" w:cs="Arial"/>
          <w:b/>
          <w:bCs/>
        </w:rPr>
        <w:t>°</w:t>
      </w:r>
      <w:r w:rsidR="00DA7D3D" w:rsidRPr="00DB3047">
        <w:rPr>
          <w:rFonts w:ascii="Arial" w:hAnsi="Arial" w:cs="Arial"/>
        </w:rPr>
        <w:t>. Adiciónese</w:t>
      </w:r>
      <w:r w:rsidR="00F536B7" w:rsidRPr="00DB3047">
        <w:rPr>
          <w:rFonts w:ascii="Arial" w:hAnsi="Arial" w:cs="Arial"/>
        </w:rPr>
        <w:t xml:space="preserve"> un artículo nuevo a la Ley 906 de 2004, Código de</w:t>
      </w:r>
      <w:r w:rsidR="00F536B7">
        <w:rPr>
          <w:rFonts w:ascii="Arial" w:hAnsi="Arial" w:cs="Arial"/>
        </w:rPr>
        <w:t xml:space="preserve"> Procedimiento Penal, el</w:t>
      </w:r>
      <w:r w:rsidR="00F536B7">
        <w:rPr>
          <w:rFonts w:ascii="Arial" w:hAnsi="Arial" w:cs="Arial"/>
        </w:rPr>
        <w:t xml:space="preserve"> 58C</w:t>
      </w:r>
      <w:r w:rsidR="00F536B7" w:rsidRPr="00DB3047">
        <w:rPr>
          <w:rFonts w:ascii="Arial" w:hAnsi="Arial" w:cs="Arial"/>
        </w:rPr>
        <w:t>, el cual quedará así:</w:t>
      </w:r>
    </w:p>
    <w:p w:rsidR="00DA7D3D" w:rsidRPr="00DA7D3D" w:rsidRDefault="00DA7D3D" w:rsidP="00DA7D3D">
      <w:pPr>
        <w:pStyle w:val="Default"/>
        <w:jc w:val="both"/>
        <w:rPr>
          <w:rFonts w:ascii="Arial" w:hAnsi="Arial" w:cs="Arial"/>
        </w:rPr>
      </w:pPr>
    </w:p>
    <w:p w:rsidR="00B8165B" w:rsidRDefault="00B8165B" w:rsidP="00B8165B">
      <w:pPr>
        <w:pStyle w:val="Default"/>
        <w:ind w:left="708"/>
        <w:jc w:val="both"/>
        <w:rPr>
          <w:rFonts w:ascii="Arial" w:hAnsi="Arial" w:cs="Arial"/>
        </w:rPr>
      </w:pPr>
      <w:r w:rsidRPr="00DB3047">
        <w:rPr>
          <w:rFonts w:ascii="Arial" w:hAnsi="Arial" w:cs="Arial"/>
          <w:b/>
          <w:bCs/>
        </w:rPr>
        <w:t>ARTÍCULO 58</w:t>
      </w:r>
      <w:r w:rsidR="00DA7D3D">
        <w:rPr>
          <w:rFonts w:ascii="Arial" w:hAnsi="Arial" w:cs="Arial"/>
          <w:b/>
          <w:bCs/>
        </w:rPr>
        <w:t>B</w:t>
      </w:r>
      <w:r w:rsidRPr="00DB3047">
        <w:rPr>
          <w:rFonts w:ascii="Arial" w:hAnsi="Arial" w:cs="Arial"/>
          <w:b/>
          <w:bCs/>
        </w:rPr>
        <w:t xml:space="preserve">. </w:t>
      </w:r>
      <w:r>
        <w:rPr>
          <w:rFonts w:ascii="Arial" w:hAnsi="Arial" w:cs="Arial"/>
          <w:b/>
          <w:bCs/>
        </w:rPr>
        <w:t>COLABORACIÓN ARMÓNICA.</w:t>
      </w:r>
      <w:r w:rsidRPr="00DB3047">
        <w:rPr>
          <w:rFonts w:ascii="Arial" w:hAnsi="Arial" w:cs="Arial"/>
        </w:rPr>
        <w:t xml:space="preserve"> La Fiscalía General de la Nación prestará toda la colaboración logística que requiera el Fiscal </w:t>
      </w:r>
      <w:r w:rsidRPr="00DB3047">
        <w:rPr>
          <w:rFonts w:ascii="Arial" w:hAnsi="Arial" w:cs="Arial"/>
          <w:i/>
          <w:iCs/>
        </w:rPr>
        <w:t xml:space="preserve">ad-hoc </w:t>
      </w:r>
      <w:r w:rsidRPr="00DB3047">
        <w:rPr>
          <w:rFonts w:ascii="Arial" w:hAnsi="Arial" w:cs="Arial"/>
        </w:rPr>
        <w:t xml:space="preserve">en las investigaciones que adelante. Además, </w:t>
      </w:r>
      <w:r>
        <w:rPr>
          <w:rFonts w:ascii="Arial" w:hAnsi="Arial" w:cs="Arial"/>
        </w:rPr>
        <w:t>se deberán adoptar</w:t>
      </w:r>
      <w:r w:rsidRPr="00DB3047">
        <w:rPr>
          <w:rFonts w:ascii="Arial" w:hAnsi="Arial" w:cs="Arial"/>
        </w:rPr>
        <w:t xml:space="preserve"> las medidas necesarias para garantizar la autonomía e independencia de los funcionarios que sean asignados para la investigación. </w:t>
      </w:r>
    </w:p>
    <w:p w:rsidR="00B8165B" w:rsidRPr="00DB3047" w:rsidRDefault="00B8165B" w:rsidP="00B8165B">
      <w:pPr>
        <w:pStyle w:val="Default"/>
        <w:ind w:left="708"/>
        <w:jc w:val="both"/>
        <w:rPr>
          <w:rFonts w:ascii="Arial" w:hAnsi="Arial" w:cs="Arial"/>
        </w:rPr>
      </w:pPr>
    </w:p>
    <w:p w:rsidR="00B8165B" w:rsidRPr="00DB3047" w:rsidRDefault="00B8165B" w:rsidP="00B8165B">
      <w:pPr>
        <w:ind w:left="708"/>
        <w:jc w:val="both"/>
        <w:rPr>
          <w:rFonts w:ascii="Arial" w:hAnsi="Arial" w:cs="Arial"/>
        </w:rPr>
      </w:pPr>
      <w:r w:rsidRPr="00DB3047">
        <w:rPr>
          <w:rFonts w:ascii="Arial" w:hAnsi="Arial" w:cs="Arial"/>
        </w:rPr>
        <w:t xml:space="preserve">Para el efecto, el Fiscal </w:t>
      </w:r>
      <w:r w:rsidRPr="00DB3047">
        <w:rPr>
          <w:rFonts w:ascii="Arial" w:hAnsi="Arial" w:cs="Arial"/>
          <w:i/>
          <w:iCs/>
        </w:rPr>
        <w:t xml:space="preserve">ad-hoc </w:t>
      </w:r>
      <w:r w:rsidRPr="00DB3047">
        <w:rPr>
          <w:rFonts w:ascii="Arial" w:hAnsi="Arial" w:cs="Arial"/>
        </w:rPr>
        <w:t xml:space="preserve">presentará una solicitud a la Fiscalía General de la Nación sobre los recursos logísticos, económicos y de personal que requiera para realizar una adecuada investigación. </w:t>
      </w:r>
      <w:r>
        <w:rPr>
          <w:rFonts w:ascii="Arial" w:hAnsi="Arial" w:cs="Arial"/>
        </w:rPr>
        <w:t>Dicha solicitud será vinculante</w:t>
      </w:r>
      <w:r w:rsidRPr="00DB3047">
        <w:rPr>
          <w:rFonts w:ascii="Arial" w:hAnsi="Arial" w:cs="Arial"/>
        </w:rPr>
        <w:t>.</w:t>
      </w:r>
    </w:p>
    <w:p w:rsidR="00F536B7" w:rsidRDefault="00F536B7" w:rsidP="00DB3047">
      <w:pPr>
        <w:widowControl w:val="0"/>
        <w:autoSpaceDE w:val="0"/>
        <w:autoSpaceDN w:val="0"/>
        <w:adjustRightInd w:val="0"/>
        <w:spacing w:after="240" w:line="360" w:lineRule="atLeast"/>
        <w:jc w:val="both"/>
        <w:rPr>
          <w:rFonts w:ascii="Arial" w:hAnsi="Arial" w:cs="Arial"/>
          <w:b/>
          <w:color w:val="000000"/>
          <w:lang w:val="es-CO"/>
        </w:rPr>
      </w:pPr>
    </w:p>
    <w:p w:rsidR="00DB3047" w:rsidRDefault="00F536B7" w:rsidP="00DB3047">
      <w:pPr>
        <w:widowControl w:val="0"/>
        <w:autoSpaceDE w:val="0"/>
        <w:autoSpaceDN w:val="0"/>
        <w:adjustRightInd w:val="0"/>
        <w:spacing w:after="240" w:line="360" w:lineRule="atLeast"/>
        <w:jc w:val="both"/>
        <w:rPr>
          <w:rFonts w:ascii="Arial" w:hAnsi="Arial" w:cs="Arial"/>
          <w:color w:val="000000"/>
          <w:lang w:val="es-CO"/>
        </w:rPr>
      </w:pPr>
      <w:r>
        <w:rPr>
          <w:rFonts w:ascii="Arial" w:hAnsi="Arial" w:cs="Arial"/>
          <w:b/>
          <w:color w:val="000000"/>
          <w:lang w:val="es-CO"/>
        </w:rPr>
        <w:t xml:space="preserve">Artículo </w:t>
      </w:r>
      <w:r w:rsidR="00570391">
        <w:rPr>
          <w:rFonts w:ascii="Arial" w:hAnsi="Arial" w:cs="Arial"/>
          <w:b/>
          <w:color w:val="000000"/>
          <w:lang w:val="es-CO"/>
        </w:rPr>
        <w:t>3</w:t>
      </w:r>
      <w:r>
        <w:rPr>
          <w:rFonts w:ascii="Arial" w:hAnsi="Arial" w:cs="Arial"/>
          <w:b/>
          <w:color w:val="000000"/>
          <w:lang w:val="es-CO"/>
        </w:rPr>
        <w:t xml:space="preserve">°. </w:t>
      </w:r>
      <w:r w:rsidR="00A444F1" w:rsidRPr="00A444F1">
        <w:rPr>
          <w:rFonts w:ascii="Arial" w:hAnsi="Arial" w:cs="Arial"/>
          <w:b/>
          <w:color w:val="000000"/>
          <w:lang w:val="es-CO"/>
        </w:rPr>
        <w:t>Vigencia.</w:t>
      </w:r>
      <w:r w:rsidR="00A444F1" w:rsidRPr="00A444F1">
        <w:rPr>
          <w:rFonts w:ascii="Arial" w:hAnsi="Arial" w:cs="Arial"/>
          <w:color w:val="000000"/>
          <w:lang w:val="es-CO"/>
        </w:rPr>
        <w:t xml:space="preserve"> La presente ley rige a partir de su promulgación y deroga todas las disposiciones que le sean contrarias, en particular el numeral 4 del artículo 15 del Decreto Ley 016 de 2014.</w:t>
      </w:r>
    </w:p>
    <w:p w:rsidR="00DB3047" w:rsidRDefault="00DB3047" w:rsidP="00DB3047">
      <w:pPr>
        <w:widowControl w:val="0"/>
        <w:autoSpaceDE w:val="0"/>
        <w:autoSpaceDN w:val="0"/>
        <w:adjustRightInd w:val="0"/>
        <w:spacing w:after="240" w:line="360" w:lineRule="atLeast"/>
        <w:jc w:val="both"/>
        <w:rPr>
          <w:rFonts w:ascii="Arial" w:hAnsi="Arial" w:cs="Arial"/>
          <w:color w:val="000000"/>
          <w:lang w:val="es-CO"/>
        </w:rPr>
      </w:pPr>
    </w:p>
    <w:p w:rsidR="003B005A" w:rsidRPr="00DB3047" w:rsidRDefault="003B005A" w:rsidP="00DB3047">
      <w:pPr>
        <w:widowControl w:val="0"/>
        <w:autoSpaceDE w:val="0"/>
        <w:autoSpaceDN w:val="0"/>
        <w:adjustRightInd w:val="0"/>
        <w:spacing w:after="240" w:line="360" w:lineRule="atLeast"/>
        <w:jc w:val="both"/>
        <w:rPr>
          <w:rFonts w:ascii="Arial" w:hAnsi="Arial" w:cs="Arial"/>
          <w:color w:val="000000"/>
          <w:lang w:val="es-CO"/>
        </w:rPr>
      </w:pPr>
      <w:r w:rsidRPr="00DB3047">
        <w:rPr>
          <w:rFonts w:ascii="Arial" w:hAnsi="Arial" w:cs="Arial"/>
          <w:color w:val="000000"/>
          <w:lang w:val="es-CO"/>
        </w:rPr>
        <w:t xml:space="preserve">Cordialmente, </w:t>
      </w:r>
    </w:p>
    <w:p w:rsidR="003B005A" w:rsidRPr="00DB3047" w:rsidRDefault="003B005A" w:rsidP="00DB3047">
      <w:pPr>
        <w:widowControl w:val="0"/>
        <w:autoSpaceDE w:val="0"/>
        <w:autoSpaceDN w:val="0"/>
        <w:adjustRightInd w:val="0"/>
        <w:spacing w:after="240" w:line="360" w:lineRule="atLeast"/>
        <w:jc w:val="both"/>
        <w:rPr>
          <w:rFonts w:ascii="Arial" w:hAnsi="Arial" w:cs="Arial"/>
          <w:color w:val="000000"/>
          <w:lang w:val="es-CO"/>
        </w:rPr>
      </w:pPr>
    </w:p>
    <w:p w:rsidR="003B005A" w:rsidRPr="00DB3047" w:rsidRDefault="003B005A" w:rsidP="00DB3047">
      <w:pPr>
        <w:widowControl w:val="0"/>
        <w:autoSpaceDE w:val="0"/>
        <w:autoSpaceDN w:val="0"/>
        <w:adjustRightInd w:val="0"/>
        <w:spacing w:after="240" w:line="360" w:lineRule="atLeast"/>
        <w:jc w:val="both"/>
        <w:rPr>
          <w:rFonts w:ascii="Arial" w:hAnsi="Arial" w:cs="Arial"/>
          <w:color w:val="000000"/>
          <w:lang w:val="es-CO"/>
        </w:rPr>
      </w:pPr>
    </w:p>
    <w:p w:rsidR="003B005A" w:rsidRPr="00DB3047" w:rsidRDefault="003B005A" w:rsidP="00DB3047">
      <w:pPr>
        <w:widowControl w:val="0"/>
        <w:autoSpaceDE w:val="0"/>
        <w:autoSpaceDN w:val="0"/>
        <w:adjustRightInd w:val="0"/>
        <w:spacing w:after="240" w:line="360" w:lineRule="atLeast"/>
        <w:jc w:val="both"/>
        <w:rPr>
          <w:rFonts w:ascii="Arial" w:hAnsi="Arial" w:cs="Arial"/>
          <w:color w:val="000000"/>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3B005A" w:rsidRPr="00DB3047" w:rsidTr="002906FF">
        <w:tc>
          <w:tcPr>
            <w:tcW w:w="4414" w:type="dxa"/>
          </w:tcPr>
          <w:p w:rsidR="003B005A" w:rsidRPr="00DB3047" w:rsidRDefault="003B005A" w:rsidP="00DB3047">
            <w:pPr>
              <w:widowControl w:val="0"/>
              <w:autoSpaceDE w:val="0"/>
              <w:autoSpaceDN w:val="0"/>
              <w:adjustRightInd w:val="0"/>
              <w:spacing w:after="240" w:line="360" w:lineRule="atLeast"/>
              <w:jc w:val="both"/>
              <w:rPr>
                <w:rFonts w:ascii="Arial" w:hAnsi="Arial" w:cs="Arial"/>
                <w:b/>
                <w:color w:val="000000"/>
                <w:lang w:val="es-CO"/>
              </w:rPr>
            </w:pPr>
            <w:r w:rsidRPr="00DB3047">
              <w:rPr>
                <w:rFonts w:ascii="Arial" w:hAnsi="Arial" w:cs="Arial"/>
                <w:b/>
                <w:color w:val="000000"/>
                <w:lang w:val="es-CO"/>
              </w:rPr>
              <w:t>RODRIGO LARA RESTREPO</w:t>
            </w:r>
          </w:p>
          <w:p w:rsidR="003B005A" w:rsidRPr="00A444F1" w:rsidRDefault="003B005A" w:rsidP="00DB3047">
            <w:pPr>
              <w:widowControl w:val="0"/>
              <w:autoSpaceDE w:val="0"/>
              <w:autoSpaceDN w:val="0"/>
              <w:adjustRightInd w:val="0"/>
              <w:spacing w:after="240" w:line="360" w:lineRule="atLeast"/>
              <w:jc w:val="both"/>
              <w:rPr>
                <w:rFonts w:ascii="Arial" w:hAnsi="Arial" w:cs="Arial"/>
                <w:color w:val="000000"/>
                <w:lang w:val="es-CO"/>
              </w:rPr>
            </w:pPr>
            <w:r w:rsidRPr="00A444F1">
              <w:rPr>
                <w:rFonts w:ascii="Arial" w:hAnsi="Arial" w:cs="Arial"/>
                <w:color w:val="000000"/>
                <w:lang w:val="es-CO"/>
              </w:rPr>
              <w:t>Senador</w:t>
            </w:r>
          </w:p>
        </w:tc>
        <w:tc>
          <w:tcPr>
            <w:tcW w:w="4414" w:type="dxa"/>
          </w:tcPr>
          <w:p w:rsidR="003B005A" w:rsidRPr="00DB3047" w:rsidRDefault="003B005A" w:rsidP="00DB3047">
            <w:pPr>
              <w:widowControl w:val="0"/>
              <w:autoSpaceDE w:val="0"/>
              <w:autoSpaceDN w:val="0"/>
              <w:adjustRightInd w:val="0"/>
              <w:spacing w:after="240" w:line="360" w:lineRule="atLeast"/>
              <w:jc w:val="both"/>
              <w:rPr>
                <w:rFonts w:ascii="Arial" w:hAnsi="Arial" w:cs="Arial"/>
                <w:b/>
                <w:color w:val="000000"/>
                <w:lang w:val="es-CO"/>
              </w:rPr>
            </w:pPr>
          </w:p>
        </w:tc>
      </w:tr>
    </w:tbl>
    <w:p w:rsidR="003B005A" w:rsidRDefault="003B005A" w:rsidP="00DB3047">
      <w:pPr>
        <w:jc w:val="both"/>
        <w:rPr>
          <w:rFonts w:ascii="Arial" w:hAnsi="Arial" w:cs="Arial"/>
        </w:rPr>
      </w:pPr>
    </w:p>
    <w:p w:rsidR="00A444F1" w:rsidRDefault="00A444F1" w:rsidP="00DB3047">
      <w:pPr>
        <w:jc w:val="both"/>
        <w:rPr>
          <w:rFonts w:ascii="Arial" w:hAnsi="Arial" w:cs="Arial"/>
        </w:rPr>
      </w:pPr>
    </w:p>
    <w:p w:rsidR="00A444F1" w:rsidRDefault="00A444F1" w:rsidP="00DB3047">
      <w:pPr>
        <w:jc w:val="both"/>
        <w:rPr>
          <w:rFonts w:ascii="Arial" w:hAnsi="Arial" w:cs="Arial"/>
        </w:rPr>
      </w:pPr>
    </w:p>
    <w:p w:rsidR="00A444F1" w:rsidRDefault="00A444F1" w:rsidP="00DB3047">
      <w:pPr>
        <w:jc w:val="both"/>
        <w:rPr>
          <w:rFonts w:ascii="Arial" w:hAnsi="Arial" w:cs="Arial"/>
        </w:rPr>
      </w:pPr>
    </w:p>
    <w:p w:rsidR="00A444F1" w:rsidRDefault="00A444F1" w:rsidP="00DB3047">
      <w:pPr>
        <w:jc w:val="both"/>
        <w:rPr>
          <w:rFonts w:ascii="Arial" w:hAnsi="Arial" w:cs="Arial"/>
        </w:rPr>
      </w:pPr>
    </w:p>
    <w:p w:rsidR="00A444F1" w:rsidRDefault="00A444F1" w:rsidP="00DB3047">
      <w:pPr>
        <w:jc w:val="both"/>
        <w:rPr>
          <w:rFonts w:ascii="Arial" w:hAnsi="Arial" w:cs="Arial"/>
        </w:rPr>
      </w:pPr>
    </w:p>
    <w:p w:rsidR="00A444F1" w:rsidRDefault="00A444F1" w:rsidP="00DB3047">
      <w:pPr>
        <w:jc w:val="both"/>
        <w:rPr>
          <w:rFonts w:ascii="Arial" w:hAnsi="Arial" w:cs="Arial"/>
        </w:rPr>
      </w:pPr>
    </w:p>
    <w:p w:rsidR="00A444F1" w:rsidRDefault="00A444F1" w:rsidP="00DB3047">
      <w:pPr>
        <w:jc w:val="both"/>
        <w:rPr>
          <w:rFonts w:ascii="Arial" w:hAnsi="Arial" w:cs="Arial"/>
        </w:rPr>
      </w:pPr>
    </w:p>
    <w:p w:rsidR="00A444F1" w:rsidRDefault="00A444F1" w:rsidP="00DB3047">
      <w:pPr>
        <w:jc w:val="both"/>
        <w:rPr>
          <w:rFonts w:ascii="Arial" w:hAnsi="Arial" w:cs="Arial"/>
        </w:rPr>
      </w:pPr>
    </w:p>
    <w:p w:rsidR="00A444F1" w:rsidRDefault="00A444F1" w:rsidP="00DB3047">
      <w:pPr>
        <w:jc w:val="both"/>
        <w:rPr>
          <w:rFonts w:ascii="Arial" w:hAnsi="Arial" w:cs="Arial"/>
        </w:rPr>
      </w:pPr>
    </w:p>
    <w:p w:rsidR="00A444F1" w:rsidRDefault="00A444F1" w:rsidP="00DB3047">
      <w:pPr>
        <w:jc w:val="both"/>
        <w:rPr>
          <w:rFonts w:ascii="Arial" w:hAnsi="Arial" w:cs="Arial"/>
        </w:rPr>
      </w:pPr>
    </w:p>
    <w:p w:rsidR="00A444F1" w:rsidRDefault="00A444F1" w:rsidP="00DB3047">
      <w:pPr>
        <w:jc w:val="both"/>
        <w:rPr>
          <w:rFonts w:ascii="Arial" w:hAnsi="Arial" w:cs="Arial"/>
        </w:rPr>
      </w:pPr>
    </w:p>
    <w:p w:rsidR="00A444F1" w:rsidRDefault="00A444F1" w:rsidP="00DB3047">
      <w:pPr>
        <w:jc w:val="both"/>
        <w:rPr>
          <w:rFonts w:ascii="Arial" w:hAnsi="Arial" w:cs="Arial"/>
        </w:rPr>
      </w:pPr>
    </w:p>
    <w:p w:rsidR="00A444F1" w:rsidRDefault="00A444F1" w:rsidP="00DB3047">
      <w:pPr>
        <w:jc w:val="both"/>
        <w:rPr>
          <w:rFonts w:ascii="Arial" w:hAnsi="Arial" w:cs="Arial"/>
        </w:rPr>
      </w:pPr>
    </w:p>
    <w:p w:rsidR="00A444F1" w:rsidRDefault="00A444F1" w:rsidP="00DB3047">
      <w:pPr>
        <w:jc w:val="both"/>
        <w:rPr>
          <w:rFonts w:ascii="Arial" w:hAnsi="Arial" w:cs="Arial"/>
        </w:rPr>
      </w:pPr>
    </w:p>
    <w:p w:rsidR="00A444F1" w:rsidRDefault="00A444F1" w:rsidP="00DB3047">
      <w:pPr>
        <w:jc w:val="both"/>
        <w:rPr>
          <w:rFonts w:ascii="Arial" w:hAnsi="Arial" w:cs="Arial"/>
        </w:rPr>
      </w:pPr>
    </w:p>
    <w:p w:rsidR="00A444F1" w:rsidRDefault="00A444F1" w:rsidP="00DB3047">
      <w:pPr>
        <w:jc w:val="both"/>
        <w:rPr>
          <w:rFonts w:ascii="Arial" w:hAnsi="Arial" w:cs="Arial"/>
        </w:rPr>
      </w:pPr>
    </w:p>
    <w:p w:rsidR="00A444F1" w:rsidRPr="007E0364" w:rsidRDefault="00A444F1" w:rsidP="00DB3047">
      <w:pPr>
        <w:jc w:val="both"/>
        <w:rPr>
          <w:rFonts w:ascii="Arial" w:hAnsi="Arial" w:cs="Arial"/>
        </w:rPr>
      </w:pPr>
    </w:p>
    <w:p w:rsidR="00A444F1" w:rsidRPr="007E0364" w:rsidRDefault="00A444F1" w:rsidP="00A444F1">
      <w:pPr>
        <w:jc w:val="center"/>
        <w:rPr>
          <w:rFonts w:ascii="Arial" w:hAnsi="Arial" w:cs="Arial"/>
          <w:b/>
          <w:szCs w:val="22"/>
        </w:rPr>
      </w:pPr>
      <w:r w:rsidRPr="007E0364">
        <w:rPr>
          <w:rFonts w:ascii="Arial" w:hAnsi="Arial" w:cs="Arial"/>
          <w:b/>
          <w:szCs w:val="22"/>
        </w:rPr>
        <w:t>EXPOSICIÓN DE MOTIVOS</w:t>
      </w:r>
    </w:p>
    <w:p w:rsidR="00A444F1" w:rsidRPr="007E0364" w:rsidRDefault="00A444F1" w:rsidP="00DB3047">
      <w:pPr>
        <w:jc w:val="both"/>
        <w:rPr>
          <w:rFonts w:ascii="Arial" w:hAnsi="Arial" w:cs="Arial"/>
        </w:rPr>
      </w:pPr>
    </w:p>
    <w:p w:rsidR="00A444F1" w:rsidRPr="007E0364" w:rsidRDefault="00A444F1" w:rsidP="00A444F1">
      <w:pPr>
        <w:jc w:val="both"/>
        <w:rPr>
          <w:rFonts w:ascii="Arial" w:hAnsi="Arial" w:cs="Arial"/>
        </w:rPr>
      </w:pPr>
      <w:r w:rsidRPr="007E0364">
        <w:rPr>
          <w:rFonts w:ascii="Arial" w:hAnsi="Arial" w:cs="Arial"/>
        </w:rPr>
        <w:t>El objeto del presente proyecto de ley es reglamentar el funcionamiento del régimen de impedimentos y recusaciones del Fiscal General de la Nación, con el fin de que se pueda nombrar en estos casos un Fiscal ad-hoc, con independencia y autonomía</w:t>
      </w:r>
      <w:r w:rsidR="007E0364" w:rsidRPr="007E0364">
        <w:rPr>
          <w:rFonts w:ascii="Arial" w:hAnsi="Arial" w:cs="Arial"/>
        </w:rPr>
        <w:t xml:space="preserve"> en las investigaciones en las cuales éste se encuentre impedido o tenga un conflicto de intereses</w:t>
      </w:r>
      <w:r w:rsidRPr="007E0364">
        <w:rPr>
          <w:rFonts w:ascii="Arial" w:hAnsi="Arial" w:cs="Arial"/>
        </w:rPr>
        <w:t xml:space="preserve">. </w:t>
      </w:r>
    </w:p>
    <w:p w:rsidR="00A444F1" w:rsidRPr="007E0364" w:rsidRDefault="00A444F1" w:rsidP="00A444F1">
      <w:pPr>
        <w:jc w:val="both"/>
        <w:rPr>
          <w:rFonts w:ascii="Arial" w:hAnsi="Arial" w:cs="Arial"/>
        </w:rPr>
      </w:pPr>
    </w:p>
    <w:p w:rsidR="007E0364" w:rsidRPr="007E0364" w:rsidRDefault="007E0364" w:rsidP="007E0364">
      <w:pPr>
        <w:jc w:val="both"/>
        <w:rPr>
          <w:rFonts w:ascii="Arial" w:hAnsi="Arial" w:cs="Arial"/>
          <w:b/>
        </w:rPr>
      </w:pPr>
      <w:r w:rsidRPr="007E0364">
        <w:rPr>
          <w:rFonts w:ascii="Arial" w:hAnsi="Arial" w:cs="Arial"/>
          <w:b/>
        </w:rPr>
        <w:t>FUNDAMENTOS DEL CAMBIO NORMATIVO PROPUESTO</w:t>
      </w:r>
    </w:p>
    <w:p w:rsidR="007E0364" w:rsidRPr="007E0364" w:rsidRDefault="007E0364" w:rsidP="007E0364">
      <w:pPr>
        <w:jc w:val="both"/>
        <w:rPr>
          <w:rFonts w:ascii="Arial" w:hAnsi="Arial" w:cs="Arial"/>
          <w:b/>
        </w:rPr>
      </w:pPr>
    </w:p>
    <w:p w:rsidR="007E0364" w:rsidRPr="007E0364" w:rsidRDefault="007E0364" w:rsidP="007E0364">
      <w:pPr>
        <w:pStyle w:val="Prrafodelista"/>
        <w:numPr>
          <w:ilvl w:val="0"/>
          <w:numId w:val="3"/>
        </w:numPr>
        <w:jc w:val="both"/>
        <w:rPr>
          <w:rFonts w:ascii="Arial" w:hAnsi="Arial" w:cs="Arial"/>
          <w:b/>
        </w:rPr>
      </w:pPr>
      <w:r w:rsidRPr="007E0364">
        <w:rPr>
          <w:rFonts w:ascii="Arial" w:hAnsi="Arial" w:cs="Arial"/>
          <w:b/>
        </w:rPr>
        <w:t>Los principios de independencia e imparcialidad judicial</w:t>
      </w:r>
    </w:p>
    <w:p w:rsidR="007E0364" w:rsidRPr="007E0364" w:rsidRDefault="007E0364" w:rsidP="007E0364">
      <w:pPr>
        <w:pStyle w:val="Prrafodelista"/>
        <w:jc w:val="both"/>
        <w:rPr>
          <w:rFonts w:ascii="Arial" w:hAnsi="Arial" w:cs="Arial"/>
        </w:rPr>
      </w:pPr>
    </w:p>
    <w:p w:rsidR="00A444F1" w:rsidRDefault="007E0364" w:rsidP="007E0364">
      <w:pPr>
        <w:jc w:val="both"/>
        <w:rPr>
          <w:rFonts w:ascii="Arial" w:hAnsi="Arial" w:cs="Arial"/>
        </w:rPr>
      </w:pPr>
      <w:r w:rsidRPr="007E0364">
        <w:rPr>
          <w:rFonts w:ascii="Arial" w:hAnsi="Arial" w:cs="Arial"/>
        </w:rPr>
        <w:t>Uno de los pilares fundamentales del Estado Social y Democrático de Derecho es la justicia. Ésta es una garantía que se materializa, entre otras formas, a través de las decisiones que adoptan los jueces o los funcionarios encargados de administrarla. Estas decisiones deben tener como atributo esencial la independencia y la imparcialidad de quienes las toman con el fin de garantizar el derecho fundamental al debido proceso, base importante de nuestra Constitución</w:t>
      </w:r>
      <w:r>
        <w:rPr>
          <w:rFonts w:ascii="Arial" w:hAnsi="Arial" w:cs="Arial"/>
        </w:rPr>
        <w:t>.</w:t>
      </w:r>
    </w:p>
    <w:p w:rsidR="007E0364" w:rsidRDefault="007E0364" w:rsidP="007E0364">
      <w:pPr>
        <w:jc w:val="both"/>
        <w:rPr>
          <w:rFonts w:ascii="Arial" w:hAnsi="Arial" w:cs="Arial"/>
        </w:rPr>
      </w:pPr>
    </w:p>
    <w:p w:rsidR="007E0364" w:rsidRDefault="00F35AE8" w:rsidP="00F35AE8">
      <w:pPr>
        <w:jc w:val="both"/>
        <w:rPr>
          <w:rFonts w:ascii="Arial" w:hAnsi="Arial" w:cs="Arial"/>
        </w:rPr>
      </w:pPr>
      <w:r>
        <w:rPr>
          <w:rFonts w:ascii="Arial" w:hAnsi="Arial" w:cs="Arial"/>
        </w:rPr>
        <w:t>E</w:t>
      </w:r>
      <w:r w:rsidR="007E0364" w:rsidRPr="007E0364">
        <w:rPr>
          <w:rFonts w:ascii="Arial" w:hAnsi="Arial" w:cs="Arial"/>
        </w:rPr>
        <w:t>l artículo 29 de la Carta Política, la garantía del debido proceso es transversal e inherente a toda clase de actuaciones judiciales y administrativas. De esta manera, el debido proceso permite que los ciudadanos cuenten con la garantía de que sus derechos son respetados y que las decisiones adoptadas en torno a dichas actuaciones, serán imparciales. En materia doctrinaria se ha señalado que la independencia judicial, como postura que debe asumir el j</w:t>
      </w:r>
      <w:r>
        <w:rPr>
          <w:rFonts w:ascii="Arial" w:hAnsi="Arial" w:cs="Arial"/>
        </w:rPr>
        <w:t xml:space="preserve">uez, involucra tres principios: (i) </w:t>
      </w:r>
      <w:r w:rsidRPr="00F35AE8">
        <w:rPr>
          <w:rFonts w:ascii="Arial" w:hAnsi="Arial" w:cs="Arial"/>
        </w:rPr>
        <w:t>Independencia judicial en estricto sentido. Postura del juez frente a influencias del sistema social ajenas a derecho</w:t>
      </w:r>
      <w:r>
        <w:rPr>
          <w:rFonts w:ascii="Arial" w:hAnsi="Arial" w:cs="Arial"/>
        </w:rPr>
        <w:t xml:space="preserve">, (ii) </w:t>
      </w:r>
      <w:r w:rsidRPr="00F35AE8">
        <w:rPr>
          <w:rFonts w:ascii="Arial" w:hAnsi="Arial" w:cs="Arial"/>
        </w:rPr>
        <w:t>Imparcialidad. Postura del juez fre</w:t>
      </w:r>
      <w:r>
        <w:rPr>
          <w:rFonts w:ascii="Arial" w:hAnsi="Arial" w:cs="Arial"/>
        </w:rPr>
        <w:t>nte a influencias de las partes y, (iii)</w:t>
      </w:r>
      <w:r w:rsidRPr="00F35AE8">
        <w:rPr>
          <w:rFonts w:ascii="Arial" w:hAnsi="Arial" w:cs="Arial"/>
        </w:rPr>
        <w:t xml:space="preserve"> Objetividad u objeción. Postura del juez frente a influencias ajenas a derecho, provenientes del propio juzgador.</w:t>
      </w:r>
    </w:p>
    <w:p w:rsidR="00FD2374" w:rsidRDefault="00FD2374" w:rsidP="00F35AE8">
      <w:pPr>
        <w:jc w:val="both"/>
        <w:rPr>
          <w:rFonts w:ascii="Arial" w:hAnsi="Arial" w:cs="Arial"/>
        </w:rPr>
      </w:pPr>
    </w:p>
    <w:p w:rsidR="00FD2374" w:rsidRPr="00FD2374" w:rsidRDefault="00FD2374" w:rsidP="00FD2374">
      <w:pPr>
        <w:pStyle w:val="Prrafodelista"/>
        <w:numPr>
          <w:ilvl w:val="0"/>
          <w:numId w:val="3"/>
        </w:numPr>
        <w:jc w:val="both"/>
        <w:rPr>
          <w:rFonts w:ascii="Arial" w:hAnsi="Arial" w:cs="Arial"/>
          <w:b/>
        </w:rPr>
      </w:pPr>
      <w:r w:rsidRPr="00FD2374">
        <w:rPr>
          <w:rFonts w:ascii="Arial" w:hAnsi="Arial" w:cs="Arial"/>
          <w:b/>
        </w:rPr>
        <w:t>Los principios de independencia e imparcialidad judicial en el derecho internacional</w:t>
      </w:r>
    </w:p>
    <w:p w:rsidR="00FD2374" w:rsidRPr="00FD2374" w:rsidRDefault="00FD2374" w:rsidP="00FD2374">
      <w:pPr>
        <w:pStyle w:val="Prrafodelista"/>
        <w:jc w:val="both"/>
        <w:rPr>
          <w:rFonts w:ascii="Arial" w:hAnsi="Arial" w:cs="Arial"/>
        </w:rPr>
      </w:pPr>
    </w:p>
    <w:p w:rsidR="00FD2374" w:rsidRDefault="00FD2374" w:rsidP="00FD2374">
      <w:pPr>
        <w:jc w:val="both"/>
        <w:rPr>
          <w:rFonts w:ascii="Arial" w:hAnsi="Arial" w:cs="Arial"/>
        </w:rPr>
      </w:pPr>
      <w:r w:rsidRPr="00FD2374">
        <w:rPr>
          <w:rFonts w:ascii="Arial" w:hAnsi="Arial" w:cs="Arial"/>
        </w:rPr>
        <w:t xml:space="preserve">Son múltiples los instrumentos internacionales, incorporados en nuestro ordenamiento jurídico, que destacan la imparcialidad como un componente esencial del derecho humano al debido proceso. </w:t>
      </w:r>
    </w:p>
    <w:p w:rsidR="00FD2374" w:rsidRDefault="00FD2374" w:rsidP="00FD2374">
      <w:pPr>
        <w:jc w:val="both"/>
        <w:rPr>
          <w:rFonts w:ascii="Arial" w:hAnsi="Arial" w:cs="Arial"/>
        </w:rPr>
      </w:pPr>
    </w:p>
    <w:p w:rsidR="00FD2374" w:rsidRDefault="00FD2374" w:rsidP="00FD2374">
      <w:pPr>
        <w:jc w:val="both"/>
        <w:rPr>
          <w:rFonts w:ascii="Arial" w:hAnsi="Arial" w:cs="Arial"/>
        </w:rPr>
      </w:pPr>
      <w:r>
        <w:rPr>
          <w:rFonts w:ascii="Arial" w:hAnsi="Arial" w:cs="Arial"/>
        </w:rPr>
        <w:t>L</w:t>
      </w:r>
      <w:r w:rsidRPr="00FD2374">
        <w:rPr>
          <w:rFonts w:ascii="Arial" w:hAnsi="Arial" w:cs="Arial"/>
        </w:rPr>
        <w:t>a Convención Americana de Derechos Humanos (CADH) establece en el artículo 8 sobre garantías judiciales</w:t>
      </w:r>
      <w:r w:rsidR="00545D55">
        <w:rPr>
          <w:rFonts w:ascii="Arial" w:hAnsi="Arial" w:cs="Arial"/>
        </w:rPr>
        <w:t>:</w:t>
      </w:r>
      <w:r>
        <w:rPr>
          <w:rFonts w:ascii="Arial" w:hAnsi="Arial" w:cs="Arial"/>
        </w:rPr>
        <w:t xml:space="preserve"> </w:t>
      </w:r>
      <w:r w:rsidRPr="00FD2374">
        <w:rPr>
          <w:rFonts w:ascii="Arial" w:hAnsi="Arial" w:cs="Arial"/>
          <w:i/>
        </w:rPr>
        <w:t xml:space="preserve">“1. Toda persona tiene derecho a ser oída, con las debidas garantías y dentro de un plazo razonable, por un juez o tribunal competente, independiente e imparcial, establecido con anterioridad por la ley, en la sustanciación de cualquier acusación penal formulada contra ella, o para la </w:t>
      </w:r>
      <w:r w:rsidRPr="00FD2374">
        <w:rPr>
          <w:rFonts w:ascii="Arial" w:hAnsi="Arial" w:cs="Arial"/>
          <w:i/>
        </w:rPr>
        <w:lastRenderedPageBreak/>
        <w:t>determinación de sus derechos y obligaciones de orden civil, laboral, fiscal o de cualquier otro carácter”.</w:t>
      </w:r>
      <w:r w:rsidRPr="00FD2374">
        <w:rPr>
          <w:rFonts w:ascii="Arial" w:hAnsi="Arial" w:cs="Arial"/>
        </w:rPr>
        <w:t xml:space="preserve"> </w:t>
      </w:r>
    </w:p>
    <w:p w:rsidR="006A0436" w:rsidRDefault="006A0436" w:rsidP="00FD2374">
      <w:pPr>
        <w:jc w:val="both"/>
        <w:rPr>
          <w:rFonts w:ascii="Arial" w:hAnsi="Arial" w:cs="Arial"/>
        </w:rPr>
      </w:pPr>
    </w:p>
    <w:p w:rsidR="006A0436" w:rsidRDefault="006A0436" w:rsidP="006A0436">
      <w:pPr>
        <w:jc w:val="both"/>
        <w:rPr>
          <w:rFonts w:ascii="Arial" w:hAnsi="Arial" w:cs="Arial"/>
          <w:i/>
        </w:rPr>
      </w:pPr>
      <w:r>
        <w:rPr>
          <w:rFonts w:ascii="Arial" w:hAnsi="Arial" w:cs="Arial"/>
        </w:rPr>
        <w:t>Por su parte, e</w:t>
      </w:r>
      <w:r w:rsidRPr="006A0436">
        <w:rPr>
          <w:rFonts w:ascii="Arial" w:hAnsi="Arial" w:cs="Arial"/>
        </w:rPr>
        <w:t xml:space="preserve">l artículo 14 del Pacto Internacional de Derechos </w:t>
      </w:r>
      <w:r>
        <w:rPr>
          <w:rFonts w:ascii="Arial" w:hAnsi="Arial" w:cs="Arial"/>
        </w:rPr>
        <w:t xml:space="preserve">Civiles y Políticos señala que: </w:t>
      </w:r>
      <w:r w:rsidRPr="006A0436">
        <w:rPr>
          <w:rFonts w:ascii="Arial" w:hAnsi="Arial" w:cs="Arial"/>
          <w:i/>
        </w:rPr>
        <w:t>“1. Todas las personas son iguales ante los tribunales y cortes de justicia. Toda persona tendrá derecho a ser oída públicamente y con las debidas garantías por un tribunal competente, independiente e imparcial, establecido por la ley, en la substanciación de cualquier acusación de carácter penal formulada contra ella o para la determinación de sus derechos u obligaciones de carácter civil. (…)”</w:t>
      </w:r>
    </w:p>
    <w:p w:rsidR="00830E3F" w:rsidRDefault="00830E3F" w:rsidP="006A0436">
      <w:pPr>
        <w:jc w:val="both"/>
        <w:rPr>
          <w:rFonts w:ascii="Arial" w:hAnsi="Arial" w:cs="Arial"/>
          <w:i/>
        </w:rPr>
      </w:pPr>
    </w:p>
    <w:p w:rsidR="00830E3F" w:rsidRDefault="00830E3F" w:rsidP="00830E3F">
      <w:pPr>
        <w:jc w:val="both"/>
        <w:rPr>
          <w:rFonts w:ascii="Arial" w:hAnsi="Arial" w:cs="Arial"/>
          <w:i/>
        </w:rPr>
      </w:pPr>
      <w:r w:rsidRPr="00830E3F">
        <w:rPr>
          <w:rFonts w:ascii="Arial" w:hAnsi="Arial" w:cs="Arial"/>
        </w:rPr>
        <w:t>El principio de imparcialidad e independencia también se encuentra previsto en el artículo 10 de la Declaración Universal de D</w:t>
      </w:r>
      <w:r>
        <w:rPr>
          <w:rFonts w:ascii="Arial" w:hAnsi="Arial" w:cs="Arial"/>
        </w:rPr>
        <w:t xml:space="preserve">erechos Humanos, el cual prevé: </w:t>
      </w:r>
      <w:r w:rsidRPr="00830E3F">
        <w:rPr>
          <w:rFonts w:ascii="Arial" w:hAnsi="Arial" w:cs="Arial"/>
          <w:i/>
        </w:rPr>
        <w:t>“10. Toda persona tiene derecho, en condiciones de plena igualdad, a ser oída públicamente y con justicia por un</w:t>
      </w:r>
      <w:r>
        <w:rPr>
          <w:rFonts w:ascii="Arial" w:hAnsi="Arial" w:cs="Arial"/>
          <w:i/>
        </w:rPr>
        <w:t xml:space="preserve"> </w:t>
      </w:r>
      <w:r w:rsidRPr="00830E3F">
        <w:rPr>
          <w:rFonts w:ascii="Arial" w:hAnsi="Arial" w:cs="Arial"/>
          <w:i/>
        </w:rPr>
        <w:t xml:space="preserve">tribunal independiente e imparcial, para la determinación de sus derechos y obligaciones o para el examen de cualquier acusación contra ella en materia penal” </w:t>
      </w:r>
    </w:p>
    <w:p w:rsidR="00830E3F" w:rsidRDefault="00830E3F" w:rsidP="00830E3F">
      <w:pPr>
        <w:jc w:val="both"/>
        <w:rPr>
          <w:rFonts w:ascii="Arial" w:hAnsi="Arial" w:cs="Arial"/>
          <w:i/>
        </w:rPr>
      </w:pPr>
    </w:p>
    <w:p w:rsidR="00830E3F" w:rsidRDefault="001E0CD4" w:rsidP="001E0CD4">
      <w:pPr>
        <w:jc w:val="both"/>
        <w:rPr>
          <w:rFonts w:ascii="Arial" w:hAnsi="Arial" w:cs="Arial"/>
          <w:i/>
        </w:rPr>
      </w:pPr>
      <w:r w:rsidRPr="001E0CD4">
        <w:rPr>
          <w:rFonts w:ascii="Arial" w:hAnsi="Arial" w:cs="Arial"/>
        </w:rPr>
        <w:t>Así mismo, la Declaración Americana sobre Derechos y Deberes del Hombre e</w:t>
      </w:r>
      <w:r>
        <w:rPr>
          <w:rFonts w:ascii="Arial" w:hAnsi="Arial" w:cs="Arial"/>
        </w:rPr>
        <w:t xml:space="preserve">n el artículo 26 contempla que: </w:t>
      </w:r>
      <w:r w:rsidRPr="001E0CD4">
        <w:rPr>
          <w:rFonts w:ascii="Arial" w:hAnsi="Arial" w:cs="Arial"/>
          <w:i/>
        </w:rPr>
        <w:t>“Toda persona acusada de delito tiene derecho a ser oída en forma imparcial y pública, a ser juzgada por tribunales anteriormente establecidos de acuerdo con leyes preexistentes y a que no se le imponga penas crueles, infamantes o inusitadas”.</w:t>
      </w:r>
    </w:p>
    <w:p w:rsidR="005A4901" w:rsidRPr="005A4901" w:rsidRDefault="005A4901" w:rsidP="001E0CD4">
      <w:pPr>
        <w:jc w:val="both"/>
        <w:rPr>
          <w:rFonts w:ascii="Arial" w:hAnsi="Arial" w:cs="Arial"/>
          <w:b/>
          <w:i/>
        </w:rPr>
      </w:pPr>
    </w:p>
    <w:p w:rsidR="005A4901" w:rsidRPr="005A4901" w:rsidRDefault="005A4901" w:rsidP="005A4901">
      <w:pPr>
        <w:pStyle w:val="Prrafodelista"/>
        <w:numPr>
          <w:ilvl w:val="0"/>
          <w:numId w:val="3"/>
        </w:numPr>
        <w:jc w:val="both"/>
        <w:rPr>
          <w:rFonts w:ascii="Arial" w:hAnsi="Arial" w:cs="Arial"/>
          <w:b/>
        </w:rPr>
      </w:pPr>
      <w:r w:rsidRPr="005A4901">
        <w:rPr>
          <w:rFonts w:ascii="Arial" w:hAnsi="Arial" w:cs="Arial"/>
          <w:b/>
        </w:rPr>
        <w:t>Los principios de independencia e imparcialidad judicial en la jurisprudencia de la Corte Constitucional</w:t>
      </w:r>
    </w:p>
    <w:p w:rsidR="005A4901" w:rsidRPr="005A4901" w:rsidRDefault="005A4901" w:rsidP="005A4901">
      <w:pPr>
        <w:pStyle w:val="Prrafodelista"/>
        <w:jc w:val="both"/>
        <w:rPr>
          <w:rFonts w:ascii="Arial" w:hAnsi="Arial" w:cs="Arial"/>
        </w:rPr>
      </w:pPr>
    </w:p>
    <w:p w:rsidR="005A4901" w:rsidRDefault="005A4901" w:rsidP="005A4901">
      <w:pPr>
        <w:jc w:val="both"/>
        <w:rPr>
          <w:rFonts w:ascii="Arial" w:hAnsi="Arial" w:cs="Arial"/>
        </w:rPr>
      </w:pPr>
      <w:r w:rsidRPr="005A4901">
        <w:rPr>
          <w:rFonts w:ascii="Arial" w:hAnsi="Arial" w:cs="Arial"/>
        </w:rPr>
        <w:t>Según se desprende el artículo 230 de la Constitución, la imparcialidad e independencia son características esenciales de la función p</w:t>
      </w:r>
      <w:r>
        <w:rPr>
          <w:rFonts w:ascii="Arial" w:hAnsi="Arial" w:cs="Arial"/>
        </w:rPr>
        <w:t>ública de administrar justicia</w:t>
      </w:r>
      <w:r w:rsidRPr="005A4901">
        <w:rPr>
          <w:rFonts w:ascii="Arial" w:hAnsi="Arial" w:cs="Arial"/>
        </w:rPr>
        <w:t xml:space="preserve"> y hacen parte de l</w:t>
      </w:r>
      <w:r>
        <w:rPr>
          <w:rFonts w:ascii="Arial" w:hAnsi="Arial" w:cs="Arial"/>
        </w:rPr>
        <w:t>as garantías del debido proceso</w:t>
      </w:r>
      <w:r w:rsidRPr="005A4901">
        <w:rPr>
          <w:rFonts w:ascii="Arial" w:hAnsi="Arial" w:cs="Arial"/>
        </w:rPr>
        <w:t>. Al respecto la Corte Constitucional ha expresado que:</w:t>
      </w:r>
    </w:p>
    <w:p w:rsidR="005A4901" w:rsidRDefault="005A4901" w:rsidP="005A4901">
      <w:pPr>
        <w:jc w:val="both"/>
        <w:rPr>
          <w:rFonts w:ascii="Arial" w:hAnsi="Arial" w:cs="Arial"/>
        </w:rPr>
      </w:pPr>
    </w:p>
    <w:p w:rsidR="005A4901" w:rsidRDefault="00DA60F1" w:rsidP="00DA60F1">
      <w:pPr>
        <w:ind w:left="708"/>
        <w:jc w:val="both"/>
        <w:rPr>
          <w:rFonts w:ascii="Arial" w:hAnsi="Arial" w:cs="Arial"/>
        </w:rPr>
      </w:pPr>
      <w:r w:rsidRPr="00DA60F1">
        <w:rPr>
          <w:rFonts w:ascii="Arial" w:hAnsi="Arial" w:cs="Arial"/>
        </w:rPr>
        <w:t>“(…) La jurisprudencia constitucional ha definido el derecho al debido proceso como el conjunto de garantías previstas en el ordenamiento jurídico, a través de las cuales se busca la protección del individuo incurso en una actuación judicial o administrativa, para que durante su trámite se respeten sus derechos y se logre la aplicación correcta de la justicia. Hacen parte de las garantías del debido proceso: (…) (vi) el derecho a la independencia e imparcialidad del juez o funcionario, quienes siempre deberán decidir con fundamento en los hechos, conforme a los imperativos del orden jurídico, sin designios anticipados ni prevenciones, presiones</w:t>
      </w:r>
      <w:r>
        <w:rPr>
          <w:rFonts w:ascii="Arial" w:hAnsi="Arial" w:cs="Arial"/>
        </w:rPr>
        <w:t xml:space="preserve"> o influencias ilícitas. (…)”</w:t>
      </w:r>
      <w:r>
        <w:rPr>
          <w:rStyle w:val="Refdenotaalpie"/>
          <w:rFonts w:ascii="Arial" w:hAnsi="Arial" w:cs="Arial"/>
        </w:rPr>
        <w:footnoteReference w:id="1"/>
      </w:r>
    </w:p>
    <w:p w:rsidR="00201FE1" w:rsidRDefault="00201FE1" w:rsidP="00DA60F1">
      <w:pPr>
        <w:ind w:left="708"/>
        <w:jc w:val="both"/>
        <w:rPr>
          <w:rFonts w:ascii="Arial" w:hAnsi="Arial" w:cs="Arial"/>
        </w:rPr>
      </w:pPr>
    </w:p>
    <w:p w:rsidR="00201FE1" w:rsidRDefault="00201FE1" w:rsidP="00DA60F1">
      <w:pPr>
        <w:ind w:left="708"/>
        <w:jc w:val="both"/>
        <w:rPr>
          <w:rFonts w:ascii="Arial" w:hAnsi="Arial" w:cs="Arial"/>
        </w:rPr>
      </w:pPr>
    </w:p>
    <w:p w:rsidR="00201FE1" w:rsidRDefault="00201FE1" w:rsidP="00201FE1">
      <w:pPr>
        <w:jc w:val="both"/>
        <w:rPr>
          <w:rFonts w:ascii="Arial" w:hAnsi="Arial" w:cs="Arial"/>
        </w:rPr>
      </w:pPr>
      <w:r w:rsidRPr="00201FE1">
        <w:rPr>
          <w:rFonts w:ascii="Arial" w:hAnsi="Arial" w:cs="Arial"/>
        </w:rPr>
        <w:lastRenderedPageBreak/>
        <w:t>En lo que respecta a la imparcialidad, el Alto Tribunal reconoció que ésta tiene una doble naturaleza. Por un lado, se trata de las características esenciales de la función de administrar justicia17, y por otro lado es un derecho subjetivo que integra el conjunto de garantías</w:t>
      </w:r>
      <w:r>
        <w:rPr>
          <w:rFonts w:ascii="Arial" w:hAnsi="Arial" w:cs="Arial"/>
        </w:rPr>
        <w:t xml:space="preserve"> del derecho al debido proceso</w:t>
      </w:r>
      <w:r>
        <w:rPr>
          <w:rStyle w:val="Refdenotaalpie"/>
          <w:rFonts w:ascii="Arial" w:hAnsi="Arial" w:cs="Arial"/>
        </w:rPr>
        <w:footnoteReference w:id="2"/>
      </w:r>
      <w:r w:rsidRPr="00201FE1">
        <w:rPr>
          <w:rFonts w:ascii="Arial" w:hAnsi="Arial" w:cs="Arial"/>
        </w:rPr>
        <w:t>.</w:t>
      </w:r>
      <w:r w:rsidR="004C6CEB">
        <w:rPr>
          <w:rFonts w:ascii="Arial" w:hAnsi="Arial" w:cs="Arial"/>
        </w:rPr>
        <w:t xml:space="preserve"> </w:t>
      </w:r>
      <w:r w:rsidRPr="00201FE1">
        <w:rPr>
          <w:rFonts w:ascii="Arial" w:hAnsi="Arial" w:cs="Arial"/>
        </w:rPr>
        <w:t xml:space="preserve">Además, </w:t>
      </w:r>
      <w:r w:rsidR="004C6CEB">
        <w:rPr>
          <w:rFonts w:ascii="Arial" w:hAnsi="Arial" w:cs="Arial"/>
        </w:rPr>
        <w:t>señaló</w:t>
      </w:r>
      <w:r w:rsidRPr="00201FE1">
        <w:rPr>
          <w:rFonts w:ascii="Arial" w:hAnsi="Arial" w:cs="Arial"/>
        </w:rPr>
        <w:t>:</w:t>
      </w:r>
    </w:p>
    <w:p w:rsidR="00201FE1" w:rsidRPr="00201FE1" w:rsidRDefault="00201FE1" w:rsidP="00201FE1">
      <w:pPr>
        <w:jc w:val="both"/>
        <w:rPr>
          <w:rFonts w:ascii="Arial" w:hAnsi="Arial" w:cs="Arial"/>
        </w:rPr>
      </w:pPr>
    </w:p>
    <w:p w:rsidR="00201FE1" w:rsidRDefault="00201FE1" w:rsidP="00201FE1">
      <w:pPr>
        <w:ind w:left="708"/>
        <w:jc w:val="both"/>
        <w:rPr>
          <w:rFonts w:ascii="Arial" w:hAnsi="Arial" w:cs="Arial"/>
        </w:rPr>
      </w:pPr>
      <w:r w:rsidRPr="00201FE1">
        <w:rPr>
          <w:rFonts w:ascii="Arial" w:hAnsi="Arial" w:cs="Arial"/>
        </w:rPr>
        <w:t>“La imparcialidad se predica del derecho de igualdad de todas las personas ante la ley (art. 13 C.P.), garantía de la cual deben gozar todos los ciudadanos frente a quien administra justicia. Se trata de un asunto no sólo de índole moral y ética, en el que la honestidad y la honorabilidad del juez son presupuestos necesarios para que la sociedad confíe en los encargados de definir la responsabilidad de las personas y la vigencia de sus derechos, sino también de responsabilidad judicial. El logro de estos cometidos requiere que tanto los jueces como los demás profesionales del derecho se comprometan en los ideales y el valor de la justicia, para lo cual no basta el simple conocimiento de la ley y del procedimiento, sino que es indispensable el demostrar en todas las actuaciones judiciales los valores de la rectitud, l</w:t>
      </w:r>
      <w:r w:rsidR="004C6CEB">
        <w:rPr>
          <w:rFonts w:ascii="Arial" w:hAnsi="Arial" w:cs="Arial"/>
        </w:rPr>
        <w:t>a honestidad y la moralidad”</w:t>
      </w:r>
      <w:r w:rsidR="004C6CEB">
        <w:rPr>
          <w:rStyle w:val="Refdenotaalpie"/>
          <w:rFonts w:ascii="Arial" w:hAnsi="Arial" w:cs="Arial"/>
        </w:rPr>
        <w:footnoteReference w:id="3"/>
      </w:r>
    </w:p>
    <w:p w:rsidR="002850FF" w:rsidRDefault="002850FF" w:rsidP="00201FE1">
      <w:pPr>
        <w:ind w:left="708"/>
        <w:jc w:val="both"/>
        <w:rPr>
          <w:rFonts w:ascii="Arial" w:hAnsi="Arial" w:cs="Arial"/>
        </w:rPr>
      </w:pPr>
    </w:p>
    <w:p w:rsidR="002850FF" w:rsidRPr="002850FF" w:rsidRDefault="002850FF" w:rsidP="00201FE1">
      <w:pPr>
        <w:ind w:left="708"/>
        <w:jc w:val="both"/>
        <w:rPr>
          <w:rFonts w:ascii="Arial" w:hAnsi="Arial" w:cs="Arial"/>
          <w:b/>
        </w:rPr>
      </w:pPr>
    </w:p>
    <w:p w:rsidR="002850FF" w:rsidRPr="004F71B7" w:rsidRDefault="002850FF" w:rsidP="004F71B7">
      <w:pPr>
        <w:pStyle w:val="Prrafodelista"/>
        <w:numPr>
          <w:ilvl w:val="0"/>
          <w:numId w:val="3"/>
        </w:numPr>
        <w:jc w:val="both"/>
        <w:rPr>
          <w:rFonts w:ascii="Arial" w:hAnsi="Arial" w:cs="Arial"/>
          <w:b/>
        </w:rPr>
      </w:pPr>
      <w:r w:rsidRPr="004F71B7">
        <w:rPr>
          <w:rFonts w:ascii="Arial" w:hAnsi="Arial" w:cs="Arial"/>
          <w:b/>
        </w:rPr>
        <w:t>LOS IMPEDIMENTOS Y LAS RECUSACIONES COMO MEDIO PARA GARANTIZAR LA INDEPENDECIA E IMPARCIALIDAD EN LA FISCALIA GENERAL DE LA NACIÓN</w:t>
      </w:r>
    </w:p>
    <w:p w:rsidR="002850FF" w:rsidRPr="002850FF" w:rsidRDefault="002850FF" w:rsidP="002850FF">
      <w:pPr>
        <w:ind w:left="708"/>
        <w:jc w:val="both"/>
        <w:rPr>
          <w:rFonts w:ascii="Arial" w:hAnsi="Arial" w:cs="Arial"/>
        </w:rPr>
      </w:pPr>
    </w:p>
    <w:p w:rsidR="002850FF" w:rsidRPr="002850FF" w:rsidRDefault="002850FF" w:rsidP="002850FF">
      <w:pPr>
        <w:jc w:val="both"/>
        <w:rPr>
          <w:rFonts w:ascii="Arial" w:hAnsi="Arial" w:cs="Arial"/>
        </w:rPr>
      </w:pPr>
      <w:r w:rsidRPr="002850FF">
        <w:rPr>
          <w:rFonts w:ascii="Arial" w:hAnsi="Arial" w:cs="Arial"/>
        </w:rPr>
        <w:t>Para que las garantías de imparcialidad e independencia judicial sean realmente efectivas, los distintos ordenamientos jurídicos y jurisdicciones consagraron las figuras de los impedimentos y las recusaciones. Como ya se dijo, a través de estos instrumentos procesales se conserva la imparcialidad y transparencia del funcionario judicial encargado de administrar justicia.</w:t>
      </w:r>
    </w:p>
    <w:p w:rsidR="002850FF" w:rsidRDefault="002850FF" w:rsidP="002850FF">
      <w:pPr>
        <w:jc w:val="both"/>
        <w:rPr>
          <w:rFonts w:ascii="Arial" w:hAnsi="Arial" w:cs="Arial"/>
        </w:rPr>
      </w:pPr>
    </w:p>
    <w:p w:rsidR="002850FF" w:rsidRDefault="002850FF" w:rsidP="002850FF">
      <w:pPr>
        <w:jc w:val="both"/>
        <w:rPr>
          <w:rFonts w:ascii="Arial" w:hAnsi="Arial" w:cs="Arial"/>
        </w:rPr>
      </w:pPr>
      <w:r w:rsidRPr="002850FF">
        <w:rPr>
          <w:rFonts w:ascii="Arial" w:hAnsi="Arial" w:cs="Arial"/>
        </w:rPr>
        <w:t>En materia penal, el régimen de impedimentos y las recusaciones está consagrado en el Capítulo VII de la Ley 906 de 2004.</w:t>
      </w:r>
      <w:r>
        <w:rPr>
          <w:rFonts w:ascii="Arial" w:hAnsi="Arial" w:cs="Arial"/>
        </w:rPr>
        <w:t xml:space="preserve"> Puntualmente, el artículo 56</w:t>
      </w:r>
      <w:r w:rsidRPr="002850FF">
        <w:rPr>
          <w:rFonts w:ascii="Arial" w:hAnsi="Arial" w:cs="Arial"/>
        </w:rPr>
        <w:t xml:space="preserve"> determina los eventos en los que el</w:t>
      </w:r>
      <w:r>
        <w:rPr>
          <w:rFonts w:ascii="Arial" w:hAnsi="Arial" w:cs="Arial"/>
        </w:rPr>
        <w:t xml:space="preserve"> </w:t>
      </w:r>
      <w:r w:rsidRPr="002850FF">
        <w:rPr>
          <w:rFonts w:ascii="Arial" w:hAnsi="Arial" w:cs="Arial"/>
        </w:rPr>
        <w:t>funcionario judicial debe ser separado del conocimiento de un caso con ocasión de un posible conflicto de intereses que puedan nublar la imparcialidad de sus decisiones. Esta disposición es aplicable a los fiscales de conocimiento en virtud del artículo 63 de dicho cuerpo normativo, que establece:</w:t>
      </w:r>
    </w:p>
    <w:p w:rsidR="002850FF" w:rsidRDefault="002850FF" w:rsidP="002850FF">
      <w:pPr>
        <w:jc w:val="both"/>
        <w:rPr>
          <w:rFonts w:ascii="Arial" w:hAnsi="Arial" w:cs="Arial"/>
        </w:rPr>
      </w:pPr>
    </w:p>
    <w:p w:rsidR="002850FF" w:rsidRDefault="002850FF" w:rsidP="002850FF">
      <w:pPr>
        <w:ind w:left="708"/>
        <w:jc w:val="both"/>
        <w:rPr>
          <w:rFonts w:ascii="Arial" w:hAnsi="Arial" w:cs="Arial"/>
        </w:rPr>
      </w:pPr>
      <w:r w:rsidRPr="002850FF">
        <w:rPr>
          <w:rFonts w:ascii="Arial" w:hAnsi="Arial" w:cs="Arial"/>
        </w:rPr>
        <w:t xml:space="preserve">“Las causales de impedimento y las sanciones se aplicarán a los fiscales, agentes del Ministerio Público, miembros de los organismos que cumplan funciones permanentes o transitorias de policía judicial, y empleados de los despachos judiciales, quienes las pondrán en conocimiento de su inmediato superior tan pronto como adviertan su existencia, sin perjuicio de que los </w:t>
      </w:r>
      <w:r w:rsidRPr="002850FF">
        <w:rPr>
          <w:rFonts w:ascii="Arial" w:hAnsi="Arial" w:cs="Arial"/>
        </w:rPr>
        <w:lastRenderedPageBreak/>
        <w:t>interesados puedan recusarlos. El superior decidirá de plano y, si hallare fundada la causal de recusación o impedimento, procederá a reemplazarlo.”</w:t>
      </w:r>
      <w:r>
        <w:rPr>
          <w:rStyle w:val="Refdenotaalpie"/>
          <w:rFonts w:ascii="Arial" w:hAnsi="Arial" w:cs="Arial"/>
        </w:rPr>
        <w:footnoteReference w:id="4"/>
      </w:r>
    </w:p>
    <w:p w:rsidR="00215B25" w:rsidRDefault="00215B25" w:rsidP="002850FF">
      <w:pPr>
        <w:ind w:left="708"/>
        <w:jc w:val="both"/>
        <w:rPr>
          <w:rFonts w:ascii="Arial" w:hAnsi="Arial" w:cs="Arial"/>
        </w:rPr>
      </w:pPr>
    </w:p>
    <w:p w:rsidR="00215B25" w:rsidRDefault="00215B25" w:rsidP="00215B25">
      <w:pPr>
        <w:jc w:val="both"/>
        <w:rPr>
          <w:rFonts w:ascii="Arial" w:hAnsi="Arial" w:cs="Arial"/>
        </w:rPr>
      </w:pPr>
    </w:p>
    <w:p w:rsidR="00215B25" w:rsidRDefault="00215B25" w:rsidP="00215B25">
      <w:pPr>
        <w:jc w:val="both"/>
        <w:rPr>
          <w:rFonts w:ascii="Arial" w:hAnsi="Arial" w:cs="Arial"/>
        </w:rPr>
      </w:pPr>
      <w:r>
        <w:rPr>
          <w:rFonts w:ascii="Arial" w:hAnsi="Arial" w:cs="Arial"/>
        </w:rPr>
        <w:t xml:space="preserve">En conclusión, </w:t>
      </w:r>
      <w:r w:rsidRPr="00215B25">
        <w:rPr>
          <w:rFonts w:ascii="Arial" w:hAnsi="Arial" w:cs="Arial"/>
        </w:rPr>
        <w:t xml:space="preserve">el nombramiento de un fiscal </w:t>
      </w:r>
      <w:r w:rsidRPr="00215B25">
        <w:rPr>
          <w:rFonts w:ascii="Arial" w:hAnsi="Arial" w:cs="Arial"/>
          <w:i/>
        </w:rPr>
        <w:t>ad hoc</w:t>
      </w:r>
      <w:r w:rsidRPr="00215B25">
        <w:rPr>
          <w:rFonts w:ascii="Arial" w:hAnsi="Arial" w:cs="Arial"/>
        </w:rPr>
        <w:t xml:space="preserve"> resuelve todos los problemas de independencia y objetividad que supone la inferioridad jerárquica frente al impedido, porque se trata de una persona ajena a los intereses y d</w:t>
      </w:r>
      <w:r w:rsidR="00987E7A">
        <w:rPr>
          <w:rFonts w:ascii="Arial" w:hAnsi="Arial" w:cs="Arial"/>
        </w:rPr>
        <w:t>inámicas administrativas de la e</w:t>
      </w:r>
      <w:r w:rsidRPr="00215B25">
        <w:rPr>
          <w:rFonts w:ascii="Arial" w:hAnsi="Arial" w:cs="Arial"/>
        </w:rPr>
        <w:t xml:space="preserve">ntidad. Además, mantiene </w:t>
      </w:r>
      <w:r w:rsidR="00987E7A">
        <w:rPr>
          <w:rFonts w:ascii="Arial" w:hAnsi="Arial" w:cs="Arial"/>
        </w:rPr>
        <w:t xml:space="preserve">a </w:t>
      </w:r>
      <w:bookmarkStart w:id="0" w:name="_GoBack"/>
      <w:bookmarkEnd w:id="0"/>
      <w:r w:rsidR="00987E7A" w:rsidRPr="00215B25">
        <w:rPr>
          <w:rFonts w:ascii="Arial" w:hAnsi="Arial" w:cs="Arial"/>
        </w:rPr>
        <w:t>salvo</w:t>
      </w:r>
      <w:r w:rsidRPr="00215B25">
        <w:rPr>
          <w:rFonts w:ascii="Arial" w:hAnsi="Arial" w:cs="Arial"/>
        </w:rPr>
        <w:t xml:space="preserve"> la garantía del juez natural, en tanto que se trata de una persona que viene a reemplazar a la impedida, pero que actúa a través de la institución investida por la Constitución para el ejercicio de la acción penal, y en ejercicio de las facultades previamente reconocidas a ésta.</w:t>
      </w:r>
      <w:r w:rsidR="00191F74">
        <w:rPr>
          <w:rFonts w:ascii="Arial" w:hAnsi="Arial" w:cs="Arial"/>
        </w:rPr>
        <w:br/>
      </w:r>
    </w:p>
    <w:p w:rsidR="00191F74" w:rsidRDefault="00191F74" w:rsidP="00191F74">
      <w:pPr>
        <w:widowControl w:val="0"/>
        <w:autoSpaceDE w:val="0"/>
        <w:autoSpaceDN w:val="0"/>
        <w:adjustRightInd w:val="0"/>
        <w:spacing w:after="240" w:line="360" w:lineRule="atLeast"/>
        <w:jc w:val="both"/>
        <w:rPr>
          <w:rFonts w:ascii="Arial" w:hAnsi="Arial" w:cs="Arial"/>
          <w:color w:val="000000"/>
          <w:lang w:val="es-CO"/>
        </w:rPr>
      </w:pPr>
    </w:p>
    <w:p w:rsidR="00191F74" w:rsidRDefault="00191F74" w:rsidP="00191F74">
      <w:pPr>
        <w:widowControl w:val="0"/>
        <w:autoSpaceDE w:val="0"/>
        <w:autoSpaceDN w:val="0"/>
        <w:adjustRightInd w:val="0"/>
        <w:spacing w:after="240" w:line="360" w:lineRule="atLeast"/>
        <w:jc w:val="both"/>
        <w:rPr>
          <w:rFonts w:ascii="Arial" w:hAnsi="Arial" w:cs="Arial"/>
          <w:color w:val="000000"/>
          <w:lang w:val="es-CO"/>
        </w:rPr>
      </w:pPr>
    </w:p>
    <w:p w:rsidR="00191F74" w:rsidRDefault="00191F74" w:rsidP="00191F74">
      <w:pPr>
        <w:widowControl w:val="0"/>
        <w:autoSpaceDE w:val="0"/>
        <w:autoSpaceDN w:val="0"/>
        <w:adjustRightInd w:val="0"/>
        <w:spacing w:after="240" w:line="360" w:lineRule="atLeast"/>
        <w:jc w:val="both"/>
        <w:rPr>
          <w:rFonts w:ascii="Arial" w:hAnsi="Arial" w:cs="Arial"/>
          <w:color w:val="000000"/>
          <w:lang w:val="es-CO"/>
        </w:rPr>
      </w:pPr>
    </w:p>
    <w:p w:rsidR="00191F74" w:rsidRPr="00DB3047" w:rsidRDefault="00191F74" w:rsidP="00191F74">
      <w:pPr>
        <w:widowControl w:val="0"/>
        <w:autoSpaceDE w:val="0"/>
        <w:autoSpaceDN w:val="0"/>
        <w:adjustRightInd w:val="0"/>
        <w:spacing w:after="240" w:line="360" w:lineRule="atLeast"/>
        <w:jc w:val="both"/>
        <w:rPr>
          <w:rFonts w:ascii="Arial" w:hAnsi="Arial" w:cs="Arial"/>
          <w:color w:val="000000"/>
          <w:lang w:val="es-CO"/>
        </w:rPr>
      </w:pPr>
      <w:r w:rsidRPr="00DB3047">
        <w:rPr>
          <w:rFonts w:ascii="Arial" w:hAnsi="Arial" w:cs="Arial"/>
          <w:color w:val="000000"/>
          <w:lang w:val="es-CO"/>
        </w:rPr>
        <w:t xml:space="preserve">Cordialmente, </w:t>
      </w:r>
    </w:p>
    <w:p w:rsidR="00191F74" w:rsidRPr="00DB3047" w:rsidRDefault="00191F74" w:rsidP="00191F74">
      <w:pPr>
        <w:widowControl w:val="0"/>
        <w:autoSpaceDE w:val="0"/>
        <w:autoSpaceDN w:val="0"/>
        <w:adjustRightInd w:val="0"/>
        <w:spacing w:after="240" w:line="360" w:lineRule="atLeast"/>
        <w:jc w:val="both"/>
        <w:rPr>
          <w:rFonts w:ascii="Arial" w:hAnsi="Arial" w:cs="Arial"/>
          <w:color w:val="000000"/>
          <w:lang w:val="es-CO"/>
        </w:rPr>
      </w:pPr>
    </w:p>
    <w:p w:rsidR="00191F74" w:rsidRPr="00DB3047" w:rsidRDefault="00191F74" w:rsidP="00191F74">
      <w:pPr>
        <w:widowControl w:val="0"/>
        <w:autoSpaceDE w:val="0"/>
        <w:autoSpaceDN w:val="0"/>
        <w:adjustRightInd w:val="0"/>
        <w:spacing w:after="240" w:line="360" w:lineRule="atLeast"/>
        <w:jc w:val="both"/>
        <w:rPr>
          <w:rFonts w:ascii="Arial" w:hAnsi="Arial" w:cs="Arial"/>
          <w:color w:val="000000"/>
          <w:lang w:val="es-CO"/>
        </w:rPr>
      </w:pPr>
    </w:p>
    <w:p w:rsidR="00191F74" w:rsidRPr="00DB3047" w:rsidRDefault="00191F74" w:rsidP="00191F74">
      <w:pPr>
        <w:widowControl w:val="0"/>
        <w:autoSpaceDE w:val="0"/>
        <w:autoSpaceDN w:val="0"/>
        <w:adjustRightInd w:val="0"/>
        <w:spacing w:after="240" w:line="360" w:lineRule="atLeast"/>
        <w:jc w:val="both"/>
        <w:rPr>
          <w:rFonts w:ascii="Arial" w:hAnsi="Arial" w:cs="Arial"/>
          <w:color w:val="000000"/>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191F74" w:rsidRPr="00DB3047" w:rsidTr="002906FF">
        <w:tc>
          <w:tcPr>
            <w:tcW w:w="4414" w:type="dxa"/>
          </w:tcPr>
          <w:p w:rsidR="00191F74" w:rsidRPr="00DB3047" w:rsidRDefault="00191F74" w:rsidP="002906FF">
            <w:pPr>
              <w:widowControl w:val="0"/>
              <w:autoSpaceDE w:val="0"/>
              <w:autoSpaceDN w:val="0"/>
              <w:adjustRightInd w:val="0"/>
              <w:spacing w:after="240" w:line="360" w:lineRule="atLeast"/>
              <w:jc w:val="both"/>
              <w:rPr>
                <w:rFonts w:ascii="Arial" w:hAnsi="Arial" w:cs="Arial"/>
                <w:b/>
                <w:color w:val="000000"/>
                <w:lang w:val="es-CO"/>
              </w:rPr>
            </w:pPr>
            <w:r w:rsidRPr="00DB3047">
              <w:rPr>
                <w:rFonts w:ascii="Arial" w:hAnsi="Arial" w:cs="Arial"/>
                <w:b/>
                <w:color w:val="000000"/>
                <w:lang w:val="es-CO"/>
              </w:rPr>
              <w:t>RODRIGO LARA RESTREPO</w:t>
            </w:r>
          </w:p>
          <w:p w:rsidR="00191F74" w:rsidRPr="00A444F1" w:rsidRDefault="00191F74" w:rsidP="002906FF">
            <w:pPr>
              <w:widowControl w:val="0"/>
              <w:autoSpaceDE w:val="0"/>
              <w:autoSpaceDN w:val="0"/>
              <w:adjustRightInd w:val="0"/>
              <w:spacing w:after="240" w:line="360" w:lineRule="atLeast"/>
              <w:jc w:val="both"/>
              <w:rPr>
                <w:rFonts w:ascii="Arial" w:hAnsi="Arial" w:cs="Arial"/>
                <w:color w:val="000000"/>
                <w:lang w:val="es-CO"/>
              </w:rPr>
            </w:pPr>
            <w:r w:rsidRPr="00A444F1">
              <w:rPr>
                <w:rFonts w:ascii="Arial" w:hAnsi="Arial" w:cs="Arial"/>
                <w:color w:val="000000"/>
                <w:lang w:val="es-CO"/>
              </w:rPr>
              <w:t>Senador</w:t>
            </w:r>
          </w:p>
        </w:tc>
        <w:tc>
          <w:tcPr>
            <w:tcW w:w="4414" w:type="dxa"/>
          </w:tcPr>
          <w:p w:rsidR="00191F74" w:rsidRPr="00DB3047" w:rsidRDefault="00191F74" w:rsidP="002906FF">
            <w:pPr>
              <w:widowControl w:val="0"/>
              <w:autoSpaceDE w:val="0"/>
              <w:autoSpaceDN w:val="0"/>
              <w:adjustRightInd w:val="0"/>
              <w:spacing w:after="240" w:line="360" w:lineRule="atLeast"/>
              <w:jc w:val="both"/>
              <w:rPr>
                <w:rFonts w:ascii="Arial" w:hAnsi="Arial" w:cs="Arial"/>
                <w:b/>
                <w:color w:val="000000"/>
                <w:lang w:val="es-CO"/>
              </w:rPr>
            </w:pPr>
          </w:p>
        </w:tc>
      </w:tr>
    </w:tbl>
    <w:p w:rsidR="00191F74" w:rsidRPr="00FD314B" w:rsidRDefault="00191F74" w:rsidP="00215B25">
      <w:pPr>
        <w:jc w:val="both"/>
        <w:rPr>
          <w:rFonts w:ascii="Arial" w:hAnsi="Arial" w:cs="Arial"/>
        </w:rPr>
      </w:pPr>
    </w:p>
    <w:sectPr w:rsidR="00191F74" w:rsidRPr="00FD314B" w:rsidSect="008331A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BAB" w:rsidRDefault="00076BAB" w:rsidP="003B005A">
      <w:r>
        <w:separator/>
      </w:r>
    </w:p>
  </w:endnote>
  <w:endnote w:type="continuationSeparator" w:id="0">
    <w:p w:rsidR="00076BAB" w:rsidRDefault="00076BAB" w:rsidP="003B0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BAB" w:rsidRDefault="00076BAB" w:rsidP="003B005A">
      <w:r>
        <w:separator/>
      </w:r>
    </w:p>
  </w:footnote>
  <w:footnote w:type="continuationSeparator" w:id="0">
    <w:p w:rsidR="00076BAB" w:rsidRDefault="00076BAB" w:rsidP="003B005A">
      <w:r>
        <w:continuationSeparator/>
      </w:r>
    </w:p>
  </w:footnote>
  <w:footnote w:id="1">
    <w:p w:rsidR="00DA60F1" w:rsidRPr="00DA60F1" w:rsidRDefault="00DA60F1">
      <w:pPr>
        <w:pStyle w:val="Textonotapie"/>
        <w:rPr>
          <w:lang w:val="es-CO"/>
        </w:rPr>
      </w:pPr>
      <w:r>
        <w:rPr>
          <w:rStyle w:val="Refdenotaalpie"/>
        </w:rPr>
        <w:footnoteRef/>
      </w:r>
      <w:r>
        <w:t xml:space="preserve"> </w:t>
      </w:r>
      <w:r w:rsidRPr="00DA60F1">
        <w:t>Corte Constitucional. Sentencia C-341 de 2014.</w:t>
      </w:r>
    </w:p>
  </w:footnote>
  <w:footnote w:id="2">
    <w:p w:rsidR="00201FE1" w:rsidRPr="00201FE1" w:rsidRDefault="00201FE1">
      <w:pPr>
        <w:pStyle w:val="Textonotapie"/>
        <w:rPr>
          <w:lang w:val="es-CO"/>
        </w:rPr>
      </w:pPr>
      <w:r>
        <w:rPr>
          <w:rStyle w:val="Refdenotaalpie"/>
        </w:rPr>
        <w:footnoteRef/>
      </w:r>
      <w:r>
        <w:t xml:space="preserve"> </w:t>
      </w:r>
      <w:r w:rsidRPr="00201FE1">
        <w:t>Corte Constitucional, Sentencia C-600 de 2011.</w:t>
      </w:r>
    </w:p>
  </w:footnote>
  <w:footnote w:id="3">
    <w:p w:rsidR="004C6CEB" w:rsidRPr="004C6CEB" w:rsidRDefault="004C6CEB">
      <w:pPr>
        <w:pStyle w:val="Textonotapie"/>
        <w:rPr>
          <w:lang w:val="es-CO"/>
        </w:rPr>
      </w:pPr>
      <w:r>
        <w:rPr>
          <w:rStyle w:val="Refdenotaalpie"/>
        </w:rPr>
        <w:footnoteRef/>
      </w:r>
      <w:r>
        <w:t xml:space="preserve"> </w:t>
      </w:r>
      <w:r w:rsidRPr="004C6CEB">
        <w:t>Corte Constitucional, Sentencia C-036 de 1996.</w:t>
      </w:r>
    </w:p>
  </w:footnote>
  <w:footnote w:id="4">
    <w:p w:rsidR="002850FF" w:rsidRPr="002850FF" w:rsidRDefault="002850FF">
      <w:pPr>
        <w:pStyle w:val="Textonotapie"/>
        <w:rPr>
          <w:lang w:val="es-CO"/>
        </w:rPr>
      </w:pPr>
      <w:r>
        <w:rPr>
          <w:rStyle w:val="Refdenotaalpie"/>
        </w:rPr>
        <w:footnoteRef/>
      </w:r>
      <w:r>
        <w:t xml:space="preserve"> </w:t>
      </w:r>
      <w:r w:rsidRPr="002850FF">
        <w:t>Art</w:t>
      </w:r>
      <w:r>
        <w:t>ículo</w:t>
      </w:r>
      <w:r w:rsidRPr="002850FF">
        <w:t xml:space="preserve"> 63</w:t>
      </w:r>
      <w:r>
        <w:t xml:space="preserve"> de la</w:t>
      </w:r>
      <w:r w:rsidRPr="002850FF">
        <w:t xml:space="preserve"> Ley 906 de 2004.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D4E" w:rsidRDefault="00DF3E94" w:rsidP="00851C29">
    <w:pPr>
      <w:pStyle w:val="Encabezado"/>
      <w:jc w:val="center"/>
    </w:pPr>
    <w:r>
      <w:rPr>
        <w:noProof/>
        <w:lang w:val="es-CO" w:eastAsia="es-CO"/>
      </w:rPr>
      <w:drawing>
        <wp:inline distT="0" distB="0" distL="0" distR="0" wp14:anchorId="61CC0379" wp14:editId="6AAE2E84">
          <wp:extent cx="1901190" cy="648369"/>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agina-1.png"/>
                  <pic:cNvPicPr/>
                </pic:nvPicPr>
                <pic:blipFill rotWithShape="1">
                  <a:blip r:embed="rId1">
                    <a:extLst>
                      <a:ext uri="{28A0092B-C50C-407E-A947-70E740481C1C}">
                        <a14:useLocalDpi xmlns:a14="http://schemas.microsoft.com/office/drawing/2010/main" val="0"/>
                      </a:ext>
                    </a:extLst>
                  </a:blip>
                  <a:srcRect l="2555" t="11507" r="64790" b="10528"/>
                  <a:stretch/>
                </pic:blipFill>
                <pic:spPr bwMode="auto">
                  <a:xfrm>
                    <a:off x="0" y="0"/>
                    <a:ext cx="1901190" cy="648369"/>
                  </a:xfrm>
                  <a:prstGeom prst="rect">
                    <a:avLst/>
                  </a:prstGeom>
                  <a:ln>
                    <a:noFill/>
                  </a:ln>
                  <a:extLst>
                    <a:ext uri="{53640926-AAD7-44D8-BBD7-CCE9431645EC}">
                      <a14:shadowObscured xmlns:a14="http://schemas.microsoft.com/office/drawing/2010/main"/>
                    </a:ext>
                  </a:extLst>
                </pic:spPr>
              </pic:pic>
            </a:graphicData>
          </a:graphic>
        </wp:inline>
      </w:drawing>
    </w:r>
  </w:p>
  <w:p w:rsidR="00BA6D4E" w:rsidRDefault="00076BA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C398E"/>
    <w:multiLevelType w:val="hybridMultilevel"/>
    <w:tmpl w:val="4414200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B6B3917"/>
    <w:multiLevelType w:val="hybridMultilevel"/>
    <w:tmpl w:val="CAB07938"/>
    <w:lvl w:ilvl="0" w:tplc="E138D924">
      <w:start w:val="1"/>
      <w:numFmt w:val="lowerLetter"/>
      <w:lvlText w:val="%1)"/>
      <w:lvlJc w:val="left"/>
      <w:pPr>
        <w:ind w:left="720" w:hanging="360"/>
      </w:pPr>
      <w:rPr>
        <w:rFonts w:ascii="Times New Roman" w:hAnsi="Times New Roman" w:cs="Times New Roman"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77204DA"/>
    <w:multiLevelType w:val="hybridMultilevel"/>
    <w:tmpl w:val="7EA29C22"/>
    <w:lvl w:ilvl="0" w:tplc="040A001B">
      <w:start w:val="1"/>
      <w:numFmt w:val="lowerRoman"/>
      <w:lvlText w:val="%1."/>
      <w:lvlJc w:val="right"/>
      <w:pPr>
        <w:ind w:left="720" w:hanging="360"/>
      </w:pPr>
    </w:lvl>
    <w:lvl w:ilvl="1" w:tplc="040A001B">
      <w:start w:val="1"/>
      <w:numFmt w:val="lowerRoman"/>
      <w:lvlText w:val="%2."/>
      <w:lvlJc w:val="righ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05A"/>
    <w:rsid w:val="00055679"/>
    <w:rsid w:val="00076BAB"/>
    <w:rsid w:val="00191F74"/>
    <w:rsid w:val="001E0CD4"/>
    <w:rsid w:val="00201FE1"/>
    <w:rsid w:val="00215B25"/>
    <w:rsid w:val="002850FF"/>
    <w:rsid w:val="003B005A"/>
    <w:rsid w:val="003D766E"/>
    <w:rsid w:val="004C6CEB"/>
    <w:rsid w:val="004F71B7"/>
    <w:rsid w:val="00545D55"/>
    <w:rsid w:val="00570391"/>
    <w:rsid w:val="005A4901"/>
    <w:rsid w:val="006A0436"/>
    <w:rsid w:val="007E0364"/>
    <w:rsid w:val="00830E3F"/>
    <w:rsid w:val="00987E7A"/>
    <w:rsid w:val="00A444F1"/>
    <w:rsid w:val="00B30217"/>
    <w:rsid w:val="00B8165B"/>
    <w:rsid w:val="00DA60F1"/>
    <w:rsid w:val="00DA7D3D"/>
    <w:rsid w:val="00DB3047"/>
    <w:rsid w:val="00DF3E94"/>
    <w:rsid w:val="00F35AE8"/>
    <w:rsid w:val="00F536B7"/>
    <w:rsid w:val="00FD2374"/>
    <w:rsid w:val="00FD314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0E6AD"/>
  <w15:chartTrackingRefBased/>
  <w15:docId w15:val="{58472260-1E61-40B5-987C-92B125DB4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05A"/>
    <w:pPr>
      <w:spacing w:after="0" w:line="240" w:lineRule="auto"/>
    </w:pPr>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005A"/>
    <w:pPr>
      <w:tabs>
        <w:tab w:val="center" w:pos="4419"/>
        <w:tab w:val="right" w:pos="8838"/>
      </w:tabs>
    </w:pPr>
  </w:style>
  <w:style w:type="character" w:customStyle="1" w:styleId="EncabezadoCar">
    <w:name w:val="Encabezado Car"/>
    <w:basedOn w:val="Fuentedeprrafopredeter"/>
    <w:link w:val="Encabezado"/>
    <w:uiPriority w:val="99"/>
    <w:rsid w:val="003B005A"/>
    <w:rPr>
      <w:sz w:val="24"/>
      <w:szCs w:val="24"/>
      <w:lang w:val="es-ES_tradnl"/>
    </w:rPr>
  </w:style>
  <w:style w:type="paragraph" w:customStyle="1" w:styleId="Cuerpo">
    <w:name w:val="Cuerpo"/>
    <w:rsid w:val="003B005A"/>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Prrafodelista">
    <w:name w:val="List Paragraph"/>
    <w:basedOn w:val="Normal"/>
    <w:uiPriority w:val="34"/>
    <w:qFormat/>
    <w:rsid w:val="003B005A"/>
    <w:pPr>
      <w:ind w:left="720"/>
      <w:contextualSpacing/>
    </w:pPr>
  </w:style>
  <w:style w:type="paragraph" w:styleId="NormalWeb">
    <w:name w:val="Normal (Web)"/>
    <w:basedOn w:val="Normal"/>
    <w:uiPriority w:val="99"/>
    <w:unhideWhenUsed/>
    <w:rsid w:val="003B005A"/>
    <w:pPr>
      <w:spacing w:before="100" w:beforeAutospacing="1" w:after="100" w:afterAutospacing="1"/>
    </w:pPr>
    <w:rPr>
      <w:rFonts w:ascii="Times New Roman" w:hAnsi="Times New Roman" w:cs="Times New Roman"/>
      <w:lang w:eastAsia="es-ES_tradnl"/>
    </w:rPr>
  </w:style>
  <w:style w:type="paragraph" w:customStyle="1" w:styleId="Sinespaciado1">
    <w:name w:val="Sin espaciado1"/>
    <w:rsid w:val="003B005A"/>
    <w:pPr>
      <w:suppressAutoHyphens/>
      <w:spacing w:after="0" w:line="240" w:lineRule="auto"/>
    </w:pPr>
    <w:rPr>
      <w:rFonts w:ascii="Times New Roman" w:eastAsia="Arial Unicode MS" w:hAnsi="Times New Roman" w:cs="Arial Unicode MS"/>
      <w:color w:val="000000"/>
      <w:sz w:val="24"/>
      <w:szCs w:val="24"/>
      <w:u w:color="000000"/>
      <w:lang w:val="en-US" w:eastAsia="ar-SA"/>
    </w:rPr>
  </w:style>
  <w:style w:type="table" w:styleId="Tablaconcuadrcula">
    <w:name w:val="Table Grid"/>
    <w:basedOn w:val="Tablanormal"/>
    <w:uiPriority w:val="39"/>
    <w:rsid w:val="003B005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3B005A"/>
  </w:style>
  <w:style w:type="character" w:customStyle="1" w:styleId="TextonotapieCar">
    <w:name w:val="Texto nota pie Car"/>
    <w:basedOn w:val="Fuentedeprrafopredeter"/>
    <w:link w:val="Textonotapie"/>
    <w:uiPriority w:val="99"/>
    <w:rsid w:val="003B005A"/>
    <w:rPr>
      <w:sz w:val="24"/>
      <w:szCs w:val="24"/>
      <w:lang w:val="es-ES_tradnl"/>
    </w:rPr>
  </w:style>
  <w:style w:type="character" w:styleId="Refdenotaalpie">
    <w:name w:val="footnote reference"/>
    <w:basedOn w:val="Fuentedeprrafopredeter"/>
    <w:uiPriority w:val="99"/>
    <w:unhideWhenUsed/>
    <w:rsid w:val="003B005A"/>
    <w:rPr>
      <w:vertAlign w:val="superscript"/>
    </w:rPr>
  </w:style>
  <w:style w:type="paragraph" w:customStyle="1" w:styleId="Default">
    <w:name w:val="Default"/>
    <w:rsid w:val="003B005A"/>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3D766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D766E"/>
    <w:rPr>
      <w:rFonts w:ascii="Segoe UI" w:hAnsi="Segoe UI" w:cs="Segoe UI"/>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716380">
      <w:bodyDiv w:val="1"/>
      <w:marLeft w:val="0"/>
      <w:marRight w:val="0"/>
      <w:marTop w:val="0"/>
      <w:marBottom w:val="0"/>
      <w:divBdr>
        <w:top w:val="none" w:sz="0" w:space="0" w:color="auto"/>
        <w:left w:val="none" w:sz="0" w:space="0" w:color="auto"/>
        <w:bottom w:val="none" w:sz="0" w:space="0" w:color="auto"/>
        <w:right w:val="none" w:sz="0" w:space="0" w:color="auto"/>
      </w:divBdr>
    </w:div>
    <w:div w:id="103580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DCB80-9AC2-4F65-8C1F-698305A5D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1644</Words>
  <Characters>9044</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22</cp:revision>
  <cp:lastPrinted>2018-12-05T16:49:00Z</cp:lastPrinted>
  <dcterms:created xsi:type="dcterms:W3CDTF">2018-11-27T22:10:00Z</dcterms:created>
  <dcterms:modified xsi:type="dcterms:W3CDTF">2018-12-05T16:54:00Z</dcterms:modified>
</cp:coreProperties>
</file>